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04CD4" w14:textId="1EBE8E90" w:rsidR="00ED6C46" w:rsidRPr="00976BAB" w:rsidRDefault="006F372F">
      <w:pPr>
        <w:tabs>
          <w:tab w:val="left" w:pos="10771"/>
        </w:tabs>
        <w:spacing w:line="1647" w:lineRule="exact"/>
        <w:ind w:left="1381"/>
        <w:rPr>
          <w:b/>
          <w:sz w:val="160"/>
          <w:szCs w:val="24"/>
        </w:rPr>
      </w:pPr>
      <w:r w:rsidRPr="00976BAB">
        <w:rPr>
          <w:noProof/>
          <w:sz w:val="24"/>
          <w:szCs w:val="24"/>
        </w:rPr>
        <mc:AlternateContent>
          <mc:Choice Requires="wpg">
            <w:drawing>
              <wp:anchor distT="0" distB="0" distL="0" distR="0" simplePos="0" relativeHeight="15728640" behindDoc="0" locked="0" layoutInCell="1" allowOverlap="1" wp14:anchorId="7C8ED2FB" wp14:editId="0E40EE6F">
                <wp:simplePos x="0" y="0"/>
                <wp:positionH relativeFrom="page">
                  <wp:posOffset>481221</wp:posOffset>
                </wp:positionH>
                <wp:positionV relativeFrom="paragraph">
                  <wp:posOffset>55262</wp:posOffset>
                </wp:positionV>
                <wp:extent cx="518159" cy="1023619"/>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159" cy="1023619"/>
                          <a:chOff x="0" y="0"/>
                          <a:chExt cx="518159" cy="1023619"/>
                        </a:xfrm>
                      </wpg:grpSpPr>
                      <wps:wsp>
                        <wps:cNvPr id="2" name="Graphic 2"/>
                        <wps:cNvSpPr/>
                        <wps:spPr>
                          <a:xfrm>
                            <a:off x="0" y="316258"/>
                            <a:ext cx="518159" cy="156210"/>
                          </a:xfrm>
                          <a:custGeom>
                            <a:avLst/>
                            <a:gdLst/>
                            <a:ahLst/>
                            <a:cxnLst/>
                            <a:rect l="l" t="t" r="r" b="b"/>
                            <a:pathLst>
                              <a:path w="518159" h="156210">
                                <a:moveTo>
                                  <a:pt x="0" y="0"/>
                                </a:moveTo>
                                <a:lnTo>
                                  <a:pt x="517886" y="0"/>
                                </a:lnTo>
                                <a:lnTo>
                                  <a:pt x="517886" y="155713"/>
                                </a:lnTo>
                                <a:lnTo>
                                  <a:pt x="0" y="155713"/>
                                </a:lnTo>
                                <a:lnTo>
                                  <a:pt x="0" y="0"/>
                                </a:lnTo>
                                <a:close/>
                              </a:path>
                            </a:pathLst>
                          </a:custGeom>
                          <a:solidFill>
                            <a:srgbClr val="000000"/>
                          </a:solidFill>
                        </wps:spPr>
                        <wps:bodyPr wrap="square" lIns="0" tIns="0" rIns="0" bIns="0" rtlCol="0">
                          <a:prstTxWarp prst="textNoShape">
                            <a:avLst/>
                          </a:prstTxWarp>
                          <a:noAutofit/>
                        </wps:bodyPr>
                      </wps:wsp>
                      <wps:wsp>
                        <wps:cNvPr id="3" name="Textbox 3"/>
                        <wps:cNvSpPr txBox="1"/>
                        <wps:spPr>
                          <a:xfrm>
                            <a:off x="0" y="0"/>
                            <a:ext cx="518159" cy="1023619"/>
                          </a:xfrm>
                          <a:prstGeom prst="rect">
                            <a:avLst/>
                          </a:prstGeom>
                        </wps:spPr>
                        <wps:txbx>
                          <w:txbxContent>
                            <w:p w14:paraId="6CE5C9F5" w14:textId="77777777" w:rsidR="00ED6C46" w:rsidRDefault="006F372F">
                              <w:pPr>
                                <w:spacing w:line="1611" w:lineRule="exact"/>
                                <w:ind w:left="186"/>
                                <w:rPr>
                                  <w:rFonts w:ascii="Arial"/>
                                  <w:sz w:val="144"/>
                                </w:rPr>
                              </w:pPr>
                              <w:r>
                                <w:rPr>
                                  <w:rFonts w:ascii="Arial"/>
                                  <w:color w:val="262421"/>
                                  <w:spacing w:val="-10"/>
                                  <w:sz w:val="144"/>
                                </w:rPr>
                                <w:t>-</w:t>
                              </w:r>
                            </w:p>
                          </w:txbxContent>
                        </wps:txbx>
                        <wps:bodyPr wrap="square" lIns="0" tIns="0" rIns="0" bIns="0" rtlCol="0">
                          <a:noAutofit/>
                        </wps:bodyPr>
                      </wps:wsp>
                    </wpg:wgp>
                  </a:graphicData>
                </a:graphic>
              </wp:anchor>
            </w:drawing>
          </mc:Choice>
          <mc:Fallback>
            <w:pict>
              <v:group w14:anchorId="7C8ED2FB" id="Group 1" o:spid="_x0000_s1026" style="position:absolute;left:0;text-align:left;margin-left:37.9pt;margin-top:4.35pt;width:40.8pt;height:80.6pt;z-index:15728640;mso-wrap-distance-left:0;mso-wrap-distance-right:0;mso-position-horizontal-relative:page" coordsize="5181,1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">
                <v:shape id="Graphic 2" o:spid="_x0000_s1027" style="position:absolute;top:3162;width:5181;height:1562;visibility:visible;mso-wrap-style:square;v-text-anchor:top" coordsize="518159,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" path="m,l517886,r,155713l,155713,,xe" fillcolor="black" stroked="f">
                  <v:path arrowok="t"/>
                </v:shape>
                <v:shapetype id="_x0000_t202" coordsize="21600,21600" o:spt="202" path="m,l,21600r21600,l21600,xe">
                  <v:stroke joinstyle="miter"/>
                  <v:path gradientshapeok="t" o:connecttype="rect"/>
                </v:shapetype>
                <v:shape id="Textbox 3" o:spid="_x0000_s1028" type="#_x0000_t202" style="position:absolute;width:5181;height:10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6CE5C9F5" w14:textId="77777777" w:rsidR="00ED6C46" w:rsidRDefault="006F372F">
                        <w:pPr>
                          <w:spacing w:line="1611" w:lineRule="exact"/>
                          <w:ind w:left="186"/>
                          <w:rPr>
                            <w:rFonts w:ascii="Arial"/>
                            <w:sz w:val="144"/>
                          </w:rPr>
                        </w:pPr>
                        <w:r>
                          <w:rPr>
                            <w:rFonts w:ascii="Arial"/>
                            <w:color w:val="262421"/>
                            <w:spacing w:val="-10"/>
                            <w:sz w:val="144"/>
                          </w:rPr>
                          <w:t>-</w:t>
                        </w:r>
                      </w:p>
                    </w:txbxContent>
                  </v:textbox>
                </v:shape>
                <w10:wrap anchorx="page"/>
              </v:group>
            </w:pict>
          </mc:Fallback>
        </mc:AlternateContent>
      </w:r>
      <w:r w:rsidRPr="00976BAB">
        <w:rPr>
          <w:rFonts w:ascii="Arial"/>
          <w:b/>
          <w:color w:val="262421"/>
          <w:w w:val="120"/>
          <w:sz w:val="28"/>
          <w:szCs w:val="24"/>
        </w:rPr>
        <w:t>LEVITT</w:t>
      </w:r>
      <w:r w:rsidRPr="00976BAB">
        <w:rPr>
          <w:rFonts w:ascii="Arial"/>
          <w:b/>
          <w:color w:val="262421"/>
          <w:spacing w:val="11"/>
          <w:w w:val="120"/>
          <w:sz w:val="28"/>
          <w:szCs w:val="24"/>
        </w:rPr>
        <w:t xml:space="preserve"> </w:t>
      </w:r>
      <w:r w:rsidRPr="00976BAB">
        <w:rPr>
          <w:rFonts w:ascii="Arial"/>
          <w:b/>
          <w:color w:val="262421"/>
          <w:spacing w:val="-2"/>
          <w:w w:val="120"/>
          <w:sz w:val="28"/>
          <w:szCs w:val="24"/>
        </w:rPr>
        <w:t>ROBINSON</w:t>
      </w:r>
      <w:r w:rsidRPr="00976BAB">
        <w:rPr>
          <w:rFonts w:ascii="Arial"/>
          <w:b/>
          <w:color w:val="262421"/>
          <w:sz w:val="28"/>
          <w:szCs w:val="24"/>
        </w:rPr>
        <w:tab/>
      </w:r>
    </w:p>
    <w:p w14:paraId="6C966066" w14:textId="77777777" w:rsidR="00ED6C46" w:rsidRPr="00976BAB" w:rsidRDefault="00ED6C46">
      <w:pPr>
        <w:pStyle w:val="BodyText"/>
        <w:spacing w:before="84"/>
        <w:rPr>
          <w:b/>
          <w:sz w:val="28"/>
          <w:szCs w:val="24"/>
        </w:rPr>
      </w:pPr>
    </w:p>
    <w:p w14:paraId="5FFD21EA" w14:textId="295E249D" w:rsidR="00ED6C46" w:rsidRPr="00976BAB" w:rsidRDefault="003A1F64">
      <w:pPr>
        <w:pStyle w:val="Heading1"/>
        <w:jc w:val="center"/>
        <w:rPr>
          <w:sz w:val="28"/>
          <w:szCs w:val="28"/>
          <w:u w:val="none"/>
        </w:rPr>
      </w:pPr>
      <w:r w:rsidRPr="00976BAB">
        <w:rPr>
          <w:color w:val="262421"/>
          <w:spacing w:val="21"/>
          <w:w w:val="105"/>
          <w:sz w:val="28"/>
          <w:szCs w:val="28"/>
          <w:u w:val="thick" w:color="262421"/>
        </w:rPr>
        <w:t xml:space="preserve">HOW </w:t>
      </w:r>
      <w:r w:rsidR="00C71FF9">
        <w:rPr>
          <w:color w:val="262421"/>
          <w:spacing w:val="21"/>
          <w:w w:val="105"/>
          <w:sz w:val="28"/>
          <w:szCs w:val="28"/>
          <w:u w:val="thick" w:color="262421"/>
        </w:rPr>
        <w:t xml:space="preserve">ARE </w:t>
      </w:r>
      <w:r w:rsidR="0098504A">
        <w:rPr>
          <w:color w:val="262421"/>
          <w:spacing w:val="21"/>
          <w:w w:val="105"/>
          <w:sz w:val="28"/>
          <w:szCs w:val="28"/>
          <w:u w:val="thick" w:color="262421"/>
        </w:rPr>
        <w:t>CLASS ACTIONS FUNDED</w:t>
      </w:r>
      <w:r w:rsidR="00C71FF9">
        <w:rPr>
          <w:color w:val="262421"/>
          <w:spacing w:val="21"/>
          <w:w w:val="105"/>
          <w:sz w:val="28"/>
          <w:szCs w:val="28"/>
          <w:u w:val="thick" w:color="262421"/>
        </w:rPr>
        <w:t>?</w:t>
      </w:r>
    </w:p>
    <w:p w14:paraId="0D0AE767" w14:textId="77777777" w:rsidR="00ED6C46" w:rsidRPr="00976BAB" w:rsidRDefault="00ED6C46">
      <w:pPr>
        <w:pStyle w:val="BodyText"/>
        <w:rPr>
          <w:b/>
          <w:sz w:val="28"/>
          <w:szCs w:val="24"/>
        </w:rPr>
      </w:pPr>
    </w:p>
    <w:p w14:paraId="765C0247" w14:textId="77777777" w:rsidR="00ED6C46" w:rsidRPr="00976BAB" w:rsidRDefault="00ED6C46">
      <w:pPr>
        <w:pStyle w:val="BodyText"/>
        <w:spacing w:before="31"/>
        <w:rPr>
          <w:b/>
          <w:sz w:val="28"/>
          <w:szCs w:val="24"/>
        </w:rPr>
      </w:pPr>
    </w:p>
    <w:p w14:paraId="72906D5B" w14:textId="77777777" w:rsidR="001C5F68" w:rsidRDefault="003A1F64">
      <w:pPr>
        <w:pStyle w:val="BodyText"/>
        <w:spacing w:line="256" w:lineRule="auto"/>
        <w:ind w:left="1235" w:right="765" w:firstLine="17"/>
        <w:jc w:val="both"/>
        <w:rPr>
          <w:color w:val="3A3A36"/>
          <w:w w:val="105"/>
          <w:sz w:val="24"/>
          <w:szCs w:val="24"/>
        </w:rPr>
      </w:pPr>
      <w:r w:rsidRPr="00976BAB">
        <w:rPr>
          <w:color w:val="3A3A36"/>
          <w:w w:val="105"/>
          <w:sz w:val="24"/>
          <w:szCs w:val="24"/>
        </w:rPr>
        <w:t>Class actions always involve lengthy and complex legal proceedings</w:t>
      </w:r>
      <w:r w:rsidR="001C5F68">
        <w:rPr>
          <w:color w:val="3A3A36"/>
          <w:w w:val="105"/>
          <w:sz w:val="24"/>
          <w:szCs w:val="24"/>
        </w:rPr>
        <w:t xml:space="preserve">. This </w:t>
      </w:r>
      <w:r w:rsidRPr="00976BAB">
        <w:rPr>
          <w:color w:val="3A3A36"/>
          <w:w w:val="105"/>
          <w:sz w:val="24"/>
          <w:szCs w:val="24"/>
        </w:rPr>
        <w:t xml:space="preserve">makes them very expensive to bring. </w:t>
      </w:r>
    </w:p>
    <w:p w14:paraId="4CEBFE12" w14:textId="77777777" w:rsidR="001C5F68" w:rsidRDefault="001C5F68">
      <w:pPr>
        <w:pStyle w:val="BodyText"/>
        <w:spacing w:line="256" w:lineRule="auto"/>
        <w:ind w:left="1235" w:right="765" w:firstLine="17"/>
        <w:jc w:val="both"/>
        <w:rPr>
          <w:color w:val="3A3A36"/>
          <w:w w:val="105"/>
          <w:sz w:val="24"/>
          <w:szCs w:val="24"/>
        </w:rPr>
      </w:pPr>
    </w:p>
    <w:p w14:paraId="54E381D1" w14:textId="29C02F86" w:rsidR="002C16A1" w:rsidRDefault="002C16A1">
      <w:pPr>
        <w:pStyle w:val="BodyText"/>
        <w:spacing w:line="256" w:lineRule="auto"/>
        <w:ind w:left="1235" w:right="765" w:firstLine="17"/>
        <w:jc w:val="both"/>
        <w:rPr>
          <w:color w:val="3A3A36"/>
          <w:w w:val="105"/>
          <w:sz w:val="24"/>
          <w:szCs w:val="24"/>
        </w:rPr>
      </w:pPr>
      <w:r>
        <w:rPr>
          <w:color w:val="3A3A36"/>
          <w:w w:val="105"/>
          <w:sz w:val="24"/>
          <w:szCs w:val="24"/>
        </w:rPr>
        <w:t xml:space="preserve">The proceedings can be funded by the group members themselves, but this is not common, because: </w:t>
      </w:r>
    </w:p>
    <w:p w14:paraId="62F9A9F2" w14:textId="77777777" w:rsidR="002C16A1" w:rsidRDefault="002C16A1">
      <w:pPr>
        <w:pStyle w:val="BodyText"/>
        <w:spacing w:line="256" w:lineRule="auto"/>
        <w:ind w:left="1235" w:right="765" w:firstLine="17"/>
        <w:jc w:val="both"/>
        <w:rPr>
          <w:color w:val="3A3A36"/>
          <w:w w:val="105"/>
          <w:sz w:val="24"/>
          <w:szCs w:val="24"/>
        </w:rPr>
      </w:pPr>
    </w:p>
    <w:p w14:paraId="2C490A71" w14:textId="77777777" w:rsidR="002C16A1" w:rsidRDefault="003A1F64" w:rsidP="002C16A1">
      <w:pPr>
        <w:pStyle w:val="BodyText"/>
        <w:numPr>
          <w:ilvl w:val="0"/>
          <w:numId w:val="2"/>
        </w:numPr>
        <w:spacing w:line="256" w:lineRule="auto"/>
        <w:ind w:right="765"/>
        <w:jc w:val="both"/>
        <w:rPr>
          <w:color w:val="3A3A36"/>
          <w:w w:val="105"/>
          <w:sz w:val="24"/>
          <w:szCs w:val="24"/>
        </w:rPr>
      </w:pPr>
      <w:r w:rsidRPr="00976BAB">
        <w:rPr>
          <w:color w:val="3A3A36"/>
          <w:w w:val="105"/>
          <w:sz w:val="24"/>
          <w:szCs w:val="24"/>
        </w:rPr>
        <w:t>In most cases, individual group members do not have the financial resources to fund the proceedings</w:t>
      </w:r>
      <w:r w:rsidR="0067067B">
        <w:rPr>
          <w:color w:val="3A3A36"/>
          <w:w w:val="105"/>
          <w:sz w:val="24"/>
          <w:szCs w:val="24"/>
        </w:rPr>
        <w:t xml:space="preserve">, </w:t>
      </w:r>
      <w:r w:rsidR="0067067B" w:rsidRPr="00976BAB">
        <w:rPr>
          <w:color w:val="3A3A36"/>
          <w:w w:val="105"/>
          <w:sz w:val="24"/>
          <w:szCs w:val="24"/>
        </w:rPr>
        <w:t>even collectively</w:t>
      </w:r>
      <w:r w:rsidRPr="00976BAB">
        <w:rPr>
          <w:color w:val="3A3A36"/>
          <w:w w:val="105"/>
          <w:sz w:val="24"/>
          <w:szCs w:val="24"/>
        </w:rPr>
        <w:t xml:space="preserve">. </w:t>
      </w:r>
    </w:p>
    <w:p w14:paraId="1DB118A1" w14:textId="47B39B9E" w:rsidR="002C16A1" w:rsidRDefault="002C16A1" w:rsidP="002C16A1">
      <w:pPr>
        <w:pStyle w:val="BodyText"/>
        <w:numPr>
          <w:ilvl w:val="0"/>
          <w:numId w:val="2"/>
        </w:numPr>
        <w:spacing w:line="256" w:lineRule="auto"/>
        <w:ind w:right="765"/>
        <w:jc w:val="both"/>
        <w:rPr>
          <w:color w:val="3A3A36"/>
          <w:w w:val="105"/>
          <w:sz w:val="24"/>
          <w:szCs w:val="24"/>
        </w:rPr>
      </w:pPr>
      <w:r>
        <w:rPr>
          <w:color w:val="3A3A36"/>
          <w:w w:val="105"/>
          <w:sz w:val="24"/>
          <w:szCs w:val="24"/>
        </w:rPr>
        <w:t>T</w:t>
      </w:r>
      <w:r w:rsidR="003A1F64" w:rsidRPr="00976BAB">
        <w:rPr>
          <w:color w:val="3A3A36"/>
          <w:w w:val="105"/>
          <w:sz w:val="24"/>
          <w:szCs w:val="24"/>
        </w:rPr>
        <w:t xml:space="preserve">he administrative burden of billing and collecting payments from hundreds, sometimes thousands, of group members makes it </w:t>
      </w:r>
      <w:r w:rsidR="001C5F68">
        <w:rPr>
          <w:color w:val="3A3A36"/>
          <w:w w:val="105"/>
          <w:sz w:val="24"/>
          <w:szCs w:val="24"/>
        </w:rPr>
        <w:t>difficult</w:t>
      </w:r>
      <w:r w:rsidR="003A1F64" w:rsidRPr="00976BAB">
        <w:rPr>
          <w:color w:val="3A3A36"/>
          <w:w w:val="105"/>
          <w:sz w:val="24"/>
          <w:szCs w:val="24"/>
        </w:rPr>
        <w:t xml:space="preserve"> to run a class action that way. </w:t>
      </w:r>
    </w:p>
    <w:p w14:paraId="1807122B" w14:textId="77002F1D" w:rsidR="003A1F64" w:rsidRPr="00976BAB" w:rsidRDefault="002C16A1" w:rsidP="002C16A1">
      <w:pPr>
        <w:pStyle w:val="BodyText"/>
        <w:numPr>
          <w:ilvl w:val="0"/>
          <w:numId w:val="2"/>
        </w:numPr>
        <w:spacing w:line="256" w:lineRule="auto"/>
        <w:ind w:right="765"/>
        <w:jc w:val="both"/>
        <w:rPr>
          <w:color w:val="3A3A36"/>
          <w:w w:val="105"/>
          <w:sz w:val="24"/>
          <w:szCs w:val="24"/>
        </w:rPr>
      </w:pPr>
      <w:r>
        <w:rPr>
          <w:color w:val="3A3A36"/>
          <w:w w:val="105"/>
          <w:sz w:val="24"/>
          <w:szCs w:val="24"/>
        </w:rPr>
        <w:t>C</w:t>
      </w:r>
      <w:r w:rsidR="00976BAB" w:rsidRPr="00976BAB">
        <w:rPr>
          <w:color w:val="3A3A36"/>
          <w:w w:val="105"/>
          <w:sz w:val="24"/>
          <w:szCs w:val="24"/>
        </w:rPr>
        <w:t xml:space="preserve">lass actions are usually brought in the name of a “lead applicant”, who represents the group </w:t>
      </w:r>
      <w:proofErr w:type="gramStart"/>
      <w:r w:rsidR="00976BAB" w:rsidRPr="00976BAB">
        <w:rPr>
          <w:color w:val="3A3A36"/>
          <w:w w:val="105"/>
          <w:sz w:val="24"/>
          <w:szCs w:val="24"/>
        </w:rPr>
        <w:t>members as a whole</w:t>
      </w:r>
      <w:proofErr w:type="gramEnd"/>
      <w:r w:rsidR="00976BAB" w:rsidRPr="00976BAB">
        <w:rPr>
          <w:color w:val="3A3A36"/>
          <w:w w:val="105"/>
          <w:sz w:val="24"/>
          <w:szCs w:val="24"/>
        </w:rPr>
        <w:t>. That person is exposed to the risk of having to pay the legal costs of the defendant(s) if the claim fails, and those costs c</w:t>
      </w:r>
      <w:r w:rsidR="0067067B">
        <w:rPr>
          <w:color w:val="3A3A36"/>
          <w:w w:val="105"/>
          <w:sz w:val="24"/>
          <w:szCs w:val="24"/>
        </w:rPr>
        <w:t>an</w:t>
      </w:r>
      <w:r w:rsidR="00976BAB" w:rsidRPr="00976BAB">
        <w:rPr>
          <w:color w:val="3A3A36"/>
          <w:w w:val="105"/>
          <w:sz w:val="24"/>
          <w:szCs w:val="24"/>
        </w:rPr>
        <w:t xml:space="preserve"> be very substantial. </w:t>
      </w:r>
      <w:r w:rsidR="0030557F">
        <w:rPr>
          <w:color w:val="3A3A36"/>
          <w:w w:val="105"/>
          <w:sz w:val="24"/>
          <w:szCs w:val="24"/>
        </w:rPr>
        <w:t xml:space="preserve">The lead applicant needs to be indemnified by someone. </w:t>
      </w:r>
    </w:p>
    <w:p w14:paraId="509E729C" w14:textId="77777777" w:rsidR="003A1F64" w:rsidRPr="00976BAB" w:rsidRDefault="003A1F64">
      <w:pPr>
        <w:pStyle w:val="BodyText"/>
        <w:spacing w:line="256" w:lineRule="auto"/>
        <w:ind w:left="1235" w:right="765" w:firstLine="17"/>
        <w:jc w:val="both"/>
        <w:rPr>
          <w:color w:val="3A3A36"/>
          <w:w w:val="105"/>
          <w:sz w:val="24"/>
          <w:szCs w:val="24"/>
        </w:rPr>
      </w:pPr>
    </w:p>
    <w:p w14:paraId="20E945DF" w14:textId="5C9A08F0" w:rsidR="00E01B2A" w:rsidRPr="00976BAB" w:rsidRDefault="003A1F64">
      <w:pPr>
        <w:pStyle w:val="BodyText"/>
        <w:spacing w:line="256" w:lineRule="auto"/>
        <w:ind w:left="1235" w:right="765" w:firstLine="17"/>
        <w:jc w:val="both"/>
        <w:rPr>
          <w:color w:val="3A3A36"/>
          <w:w w:val="105"/>
          <w:sz w:val="24"/>
          <w:szCs w:val="24"/>
        </w:rPr>
      </w:pPr>
      <w:r w:rsidRPr="00976BAB">
        <w:rPr>
          <w:color w:val="3A3A36"/>
          <w:w w:val="105"/>
          <w:sz w:val="24"/>
          <w:szCs w:val="24"/>
        </w:rPr>
        <w:t xml:space="preserve">For these reasons, class actions are </w:t>
      </w:r>
      <w:r w:rsidR="0067067B">
        <w:rPr>
          <w:color w:val="3A3A36"/>
          <w:w w:val="105"/>
          <w:sz w:val="24"/>
          <w:szCs w:val="24"/>
        </w:rPr>
        <w:t>very often</w:t>
      </w:r>
      <w:r w:rsidRPr="00976BAB">
        <w:rPr>
          <w:color w:val="3A3A36"/>
          <w:w w:val="105"/>
          <w:sz w:val="24"/>
          <w:szCs w:val="24"/>
        </w:rPr>
        <w:t xml:space="preserve"> funded by independent companies known as litigation funders.</w:t>
      </w:r>
      <w:r w:rsidR="00E01B2A" w:rsidRPr="00976BAB">
        <w:rPr>
          <w:color w:val="3A3A36"/>
          <w:w w:val="105"/>
          <w:sz w:val="24"/>
          <w:szCs w:val="24"/>
        </w:rPr>
        <w:t xml:space="preserve"> These companies agree to:</w:t>
      </w:r>
    </w:p>
    <w:p w14:paraId="606C1D8D" w14:textId="77777777" w:rsidR="00E01B2A" w:rsidRPr="00976BAB" w:rsidRDefault="00E01B2A">
      <w:pPr>
        <w:pStyle w:val="BodyText"/>
        <w:spacing w:line="256" w:lineRule="auto"/>
        <w:ind w:left="1235" w:right="765" w:firstLine="17"/>
        <w:jc w:val="both"/>
        <w:rPr>
          <w:color w:val="3A3A36"/>
          <w:w w:val="105"/>
          <w:sz w:val="24"/>
          <w:szCs w:val="24"/>
        </w:rPr>
      </w:pPr>
    </w:p>
    <w:p w14:paraId="782C874D" w14:textId="075449A5" w:rsidR="00976BAB" w:rsidRPr="00976BAB" w:rsidRDefault="00E01B2A" w:rsidP="00E01B2A">
      <w:pPr>
        <w:pStyle w:val="BodyText"/>
        <w:numPr>
          <w:ilvl w:val="0"/>
          <w:numId w:val="1"/>
        </w:numPr>
        <w:spacing w:line="256" w:lineRule="auto"/>
        <w:ind w:right="765"/>
        <w:jc w:val="both"/>
        <w:rPr>
          <w:color w:val="3A3A36"/>
          <w:w w:val="105"/>
          <w:sz w:val="24"/>
          <w:szCs w:val="24"/>
        </w:rPr>
      </w:pPr>
      <w:r w:rsidRPr="00976BAB">
        <w:rPr>
          <w:color w:val="3A3A36"/>
          <w:w w:val="105"/>
          <w:sz w:val="24"/>
          <w:szCs w:val="24"/>
        </w:rPr>
        <w:t xml:space="preserve">Fund the proceedings on an ongoing basis by paying the law firm’s </w:t>
      </w:r>
      <w:r w:rsidR="0067067B">
        <w:rPr>
          <w:color w:val="3A3A36"/>
          <w:w w:val="105"/>
          <w:sz w:val="24"/>
          <w:szCs w:val="24"/>
        </w:rPr>
        <w:t xml:space="preserve">fees and other expenses of preparing the </w:t>
      </w:r>
      <w:proofErr w:type="gramStart"/>
      <w:r w:rsidR="0067067B">
        <w:rPr>
          <w:color w:val="3A3A36"/>
          <w:w w:val="105"/>
          <w:sz w:val="24"/>
          <w:szCs w:val="24"/>
        </w:rPr>
        <w:t>claim</w:t>
      </w:r>
      <w:r w:rsidR="00976BAB" w:rsidRPr="00976BAB">
        <w:rPr>
          <w:color w:val="3A3A36"/>
          <w:w w:val="105"/>
          <w:sz w:val="24"/>
          <w:szCs w:val="24"/>
        </w:rPr>
        <w:t>;</w:t>
      </w:r>
      <w:proofErr w:type="gramEnd"/>
    </w:p>
    <w:p w14:paraId="4874A29C" w14:textId="77F41719" w:rsidR="00976BAB" w:rsidRPr="00976BAB" w:rsidRDefault="00976BAB" w:rsidP="00E01B2A">
      <w:pPr>
        <w:pStyle w:val="BodyText"/>
        <w:numPr>
          <w:ilvl w:val="0"/>
          <w:numId w:val="1"/>
        </w:numPr>
        <w:spacing w:line="256" w:lineRule="auto"/>
        <w:ind w:right="765"/>
        <w:jc w:val="both"/>
        <w:rPr>
          <w:color w:val="3A3A36"/>
          <w:w w:val="105"/>
          <w:sz w:val="24"/>
          <w:szCs w:val="24"/>
        </w:rPr>
      </w:pPr>
      <w:r w:rsidRPr="00976BAB">
        <w:rPr>
          <w:color w:val="3A3A36"/>
          <w:w w:val="105"/>
          <w:sz w:val="24"/>
          <w:szCs w:val="24"/>
        </w:rPr>
        <w:t>Provide ‘security for costs’</w:t>
      </w:r>
      <w:r w:rsidR="002A4BAD">
        <w:rPr>
          <w:color w:val="3A3A36"/>
          <w:w w:val="105"/>
          <w:sz w:val="24"/>
          <w:szCs w:val="24"/>
        </w:rPr>
        <w:t xml:space="preserve">, a payment like a bond, which the court </w:t>
      </w:r>
      <w:r w:rsidR="0030557F">
        <w:rPr>
          <w:color w:val="3A3A36"/>
          <w:w w:val="105"/>
          <w:sz w:val="24"/>
          <w:szCs w:val="24"/>
        </w:rPr>
        <w:t xml:space="preserve">mostly orders claimants to provide to protect the defendant if the class action doesn’t </w:t>
      </w:r>
      <w:r w:rsidR="002A4BAD">
        <w:rPr>
          <w:color w:val="3A3A36"/>
          <w:w w:val="105"/>
          <w:sz w:val="24"/>
          <w:szCs w:val="24"/>
        </w:rPr>
        <w:t>s</w:t>
      </w:r>
      <w:r w:rsidR="0030557F">
        <w:rPr>
          <w:color w:val="3A3A36"/>
          <w:w w:val="105"/>
          <w:sz w:val="24"/>
          <w:szCs w:val="24"/>
        </w:rPr>
        <w:t>ucceed.</w:t>
      </w:r>
    </w:p>
    <w:p w14:paraId="1F8F9001" w14:textId="77777777" w:rsidR="003A1F64" w:rsidRPr="00976BAB" w:rsidRDefault="003A1F64">
      <w:pPr>
        <w:pStyle w:val="BodyText"/>
        <w:spacing w:line="256" w:lineRule="auto"/>
        <w:ind w:left="1235" w:right="765" w:firstLine="17"/>
        <w:jc w:val="both"/>
        <w:rPr>
          <w:color w:val="3A3A36"/>
          <w:w w:val="105"/>
          <w:sz w:val="24"/>
          <w:szCs w:val="24"/>
        </w:rPr>
      </w:pPr>
    </w:p>
    <w:p w14:paraId="68152417" w14:textId="4CA8D86F" w:rsidR="001C5F68" w:rsidRDefault="00976BAB" w:rsidP="00E01B2A">
      <w:pPr>
        <w:pStyle w:val="BodyText"/>
        <w:spacing w:line="256" w:lineRule="auto"/>
        <w:ind w:left="1235" w:right="765" w:firstLine="17"/>
        <w:jc w:val="both"/>
        <w:rPr>
          <w:color w:val="3A3A36"/>
          <w:w w:val="105"/>
          <w:sz w:val="24"/>
          <w:szCs w:val="24"/>
        </w:rPr>
      </w:pPr>
      <w:r w:rsidRPr="00976BAB">
        <w:rPr>
          <w:color w:val="3A3A36"/>
          <w:w w:val="105"/>
          <w:sz w:val="24"/>
          <w:szCs w:val="24"/>
        </w:rPr>
        <w:t>In return for taking on these liabilities, and the risk of getting no return from their investment, fun</w:t>
      </w:r>
      <w:r w:rsidR="00E01B2A" w:rsidRPr="00976BAB">
        <w:rPr>
          <w:color w:val="3A3A36"/>
          <w:w w:val="105"/>
          <w:sz w:val="24"/>
          <w:szCs w:val="24"/>
        </w:rPr>
        <w:t xml:space="preserve">ders </w:t>
      </w:r>
      <w:r w:rsidR="0030557F">
        <w:rPr>
          <w:color w:val="3A3A36"/>
          <w:w w:val="105"/>
          <w:sz w:val="24"/>
          <w:szCs w:val="24"/>
        </w:rPr>
        <w:t>contract</w:t>
      </w:r>
      <w:r w:rsidRPr="00976BAB">
        <w:rPr>
          <w:color w:val="3A3A36"/>
          <w:w w:val="105"/>
          <w:sz w:val="24"/>
          <w:szCs w:val="24"/>
        </w:rPr>
        <w:t xml:space="preserve"> to recover </w:t>
      </w:r>
      <w:r w:rsidR="00E01B2A" w:rsidRPr="00976BAB">
        <w:rPr>
          <w:color w:val="3A3A36"/>
          <w:w w:val="105"/>
          <w:sz w:val="24"/>
          <w:szCs w:val="24"/>
        </w:rPr>
        <w:t xml:space="preserve">a percentage </w:t>
      </w:r>
      <w:r w:rsidR="0067067B">
        <w:rPr>
          <w:color w:val="3A3A36"/>
          <w:w w:val="105"/>
          <w:sz w:val="24"/>
          <w:szCs w:val="24"/>
        </w:rPr>
        <w:t xml:space="preserve">commission </w:t>
      </w:r>
      <w:r w:rsidR="00E01B2A" w:rsidRPr="00976BAB">
        <w:rPr>
          <w:color w:val="3A3A36"/>
          <w:w w:val="105"/>
          <w:sz w:val="24"/>
          <w:szCs w:val="24"/>
        </w:rPr>
        <w:t xml:space="preserve">of the compensation </w:t>
      </w:r>
      <w:r w:rsidRPr="00976BAB">
        <w:rPr>
          <w:color w:val="3A3A36"/>
          <w:w w:val="105"/>
          <w:sz w:val="24"/>
          <w:szCs w:val="24"/>
        </w:rPr>
        <w:t>payable to the group members</w:t>
      </w:r>
      <w:r w:rsidR="00E01B2A" w:rsidRPr="00976BAB">
        <w:rPr>
          <w:color w:val="3A3A36"/>
          <w:w w:val="105"/>
          <w:sz w:val="24"/>
          <w:szCs w:val="24"/>
        </w:rPr>
        <w:t xml:space="preserve"> at the </w:t>
      </w:r>
      <w:r w:rsidR="001C5F68">
        <w:rPr>
          <w:color w:val="3A3A36"/>
          <w:w w:val="105"/>
          <w:sz w:val="24"/>
          <w:szCs w:val="24"/>
        </w:rPr>
        <w:t>end of the case</w:t>
      </w:r>
      <w:r w:rsidRPr="00976BAB">
        <w:rPr>
          <w:color w:val="3A3A36"/>
          <w:w w:val="105"/>
          <w:sz w:val="24"/>
          <w:szCs w:val="24"/>
        </w:rPr>
        <w:t>, whether it is resolved by a court judgment or by an out-of-court settlement</w:t>
      </w:r>
      <w:r w:rsidR="00E01B2A" w:rsidRPr="00976BAB">
        <w:rPr>
          <w:color w:val="3A3A36"/>
          <w:w w:val="105"/>
          <w:sz w:val="24"/>
          <w:szCs w:val="24"/>
        </w:rPr>
        <w:t>.</w:t>
      </w:r>
      <w:r>
        <w:rPr>
          <w:color w:val="3A3A36"/>
          <w:w w:val="105"/>
          <w:sz w:val="24"/>
          <w:szCs w:val="24"/>
        </w:rPr>
        <w:t xml:space="preserve"> </w:t>
      </w:r>
    </w:p>
    <w:p w14:paraId="1040AF9F" w14:textId="77777777" w:rsidR="001C5F68" w:rsidRDefault="001C5F68" w:rsidP="00E01B2A">
      <w:pPr>
        <w:pStyle w:val="BodyText"/>
        <w:spacing w:line="256" w:lineRule="auto"/>
        <w:ind w:left="1235" w:right="765" w:firstLine="17"/>
        <w:jc w:val="both"/>
        <w:rPr>
          <w:color w:val="3A3A36"/>
          <w:w w:val="105"/>
          <w:sz w:val="24"/>
          <w:szCs w:val="24"/>
        </w:rPr>
      </w:pPr>
    </w:p>
    <w:p w14:paraId="396DF884" w14:textId="23D8628C" w:rsidR="00E01B2A" w:rsidRPr="00976BAB" w:rsidRDefault="002C16A1" w:rsidP="00E01B2A">
      <w:pPr>
        <w:pStyle w:val="BodyText"/>
        <w:spacing w:line="256" w:lineRule="auto"/>
        <w:ind w:left="1235" w:right="765" w:firstLine="17"/>
        <w:jc w:val="both"/>
        <w:rPr>
          <w:color w:val="3A3A36"/>
          <w:w w:val="105"/>
          <w:sz w:val="24"/>
          <w:szCs w:val="24"/>
        </w:rPr>
      </w:pPr>
      <w:r>
        <w:rPr>
          <w:color w:val="3A3A36"/>
          <w:w w:val="105"/>
          <w:sz w:val="24"/>
          <w:szCs w:val="24"/>
        </w:rPr>
        <w:t xml:space="preserve">If the claim succeeds, the funder </w:t>
      </w:r>
      <w:r w:rsidR="0030557F">
        <w:rPr>
          <w:color w:val="3A3A36"/>
          <w:w w:val="105"/>
          <w:sz w:val="24"/>
          <w:szCs w:val="24"/>
        </w:rPr>
        <w:t>recovers</w:t>
      </w:r>
      <w:r>
        <w:rPr>
          <w:color w:val="3A3A36"/>
          <w:w w:val="105"/>
          <w:sz w:val="24"/>
          <w:szCs w:val="24"/>
        </w:rPr>
        <w:t xml:space="preserve"> the costs they have paid</w:t>
      </w:r>
      <w:r w:rsidR="0030557F">
        <w:rPr>
          <w:color w:val="3A3A36"/>
          <w:w w:val="105"/>
          <w:sz w:val="24"/>
          <w:szCs w:val="24"/>
        </w:rPr>
        <w:t xml:space="preserve"> out</w:t>
      </w:r>
      <w:r>
        <w:rPr>
          <w:color w:val="3A3A36"/>
          <w:w w:val="105"/>
          <w:sz w:val="24"/>
          <w:szCs w:val="24"/>
        </w:rPr>
        <w:t xml:space="preserve">, plus a commission of </w:t>
      </w:r>
      <w:r w:rsidR="00976BAB">
        <w:rPr>
          <w:color w:val="3A3A36"/>
          <w:w w:val="105"/>
          <w:sz w:val="24"/>
          <w:szCs w:val="24"/>
        </w:rPr>
        <w:t xml:space="preserve">in the range of 25-35% of the total compensation, after all costs have been paid or refunded. </w:t>
      </w:r>
      <w:r>
        <w:rPr>
          <w:color w:val="3A3A36"/>
          <w:w w:val="105"/>
          <w:sz w:val="24"/>
          <w:szCs w:val="24"/>
        </w:rPr>
        <w:t>If the claim fails, the litigation funder gets nothing, and cannot claim its costs from any group member</w:t>
      </w:r>
      <w:r w:rsidR="00FB1B32">
        <w:rPr>
          <w:color w:val="3A3A36"/>
          <w:w w:val="105"/>
          <w:sz w:val="24"/>
          <w:szCs w:val="24"/>
        </w:rPr>
        <w:t>s</w:t>
      </w:r>
      <w:r>
        <w:rPr>
          <w:color w:val="3A3A36"/>
          <w:w w:val="105"/>
          <w:sz w:val="24"/>
          <w:szCs w:val="24"/>
        </w:rPr>
        <w:t xml:space="preserve">. </w:t>
      </w:r>
      <w:r w:rsidR="0030557F">
        <w:rPr>
          <w:color w:val="3A3A36"/>
          <w:w w:val="105"/>
          <w:sz w:val="24"/>
          <w:szCs w:val="24"/>
        </w:rPr>
        <w:t xml:space="preserve">It may also have to pay the defendant’s costs, mostly out of the security for costs which had been agreed or ordered to provide. </w:t>
      </w:r>
    </w:p>
    <w:p w14:paraId="4AE3AE7A" w14:textId="77777777" w:rsidR="00E01B2A" w:rsidRPr="00976BAB" w:rsidRDefault="00E01B2A" w:rsidP="00E01B2A">
      <w:pPr>
        <w:pStyle w:val="BodyText"/>
        <w:spacing w:line="256" w:lineRule="auto"/>
        <w:ind w:left="1235" w:right="765" w:firstLine="17"/>
        <w:jc w:val="both"/>
        <w:rPr>
          <w:color w:val="3A3A36"/>
          <w:w w:val="105"/>
          <w:sz w:val="24"/>
          <w:szCs w:val="24"/>
        </w:rPr>
      </w:pPr>
    </w:p>
    <w:p w14:paraId="0F7154FA" w14:textId="4C6D57D0" w:rsidR="0067067B" w:rsidRDefault="0067067B" w:rsidP="0067067B">
      <w:pPr>
        <w:pStyle w:val="BodyText"/>
        <w:spacing w:line="256" w:lineRule="auto"/>
        <w:ind w:left="1256" w:right="744" w:hanging="3"/>
        <w:jc w:val="both"/>
        <w:rPr>
          <w:color w:val="4F4D49"/>
          <w:w w:val="105"/>
          <w:sz w:val="24"/>
          <w:szCs w:val="24"/>
        </w:rPr>
      </w:pPr>
      <w:r>
        <w:rPr>
          <w:color w:val="3A3A36"/>
          <w:w w:val="105"/>
          <w:sz w:val="24"/>
          <w:szCs w:val="24"/>
        </w:rPr>
        <w:t xml:space="preserve">Like most other legal proceedings, class actions are generally settled out of court, although the settlement may not take place until shortly before, or even during, a court hearing of the claim. </w:t>
      </w:r>
      <w:r w:rsidRPr="00976BAB">
        <w:rPr>
          <w:color w:val="3A3A36"/>
          <w:w w:val="105"/>
          <w:sz w:val="24"/>
          <w:szCs w:val="24"/>
        </w:rPr>
        <w:t xml:space="preserve">All </w:t>
      </w:r>
      <w:r>
        <w:rPr>
          <w:color w:val="3A3A36"/>
          <w:w w:val="105"/>
          <w:sz w:val="24"/>
          <w:szCs w:val="24"/>
        </w:rPr>
        <w:t xml:space="preserve">settlements are </w:t>
      </w:r>
      <w:r w:rsidRPr="00976BAB">
        <w:rPr>
          <w:color w:val="4F4D49"/>
          <w:w w:val="105"/>
          <w:sz w:val="24"/>
          <w:szCs w:val="24"/>
        </w:rPr>
        <w:t xml:space="preserve">subject </w:t>
      </w:r>
      <w:r w:rsidRPr="00976BAB">
        <w:rPr>
          <w:color w:val="3A3A36"/>
          <w:w w:val="105"/>
          <w:sz w:val="24"/>
          <w:szCs w:val="24"/>
        </w:rPr>
        <w:t xml:space="preserve">to </w:t>
      </w:r>
      <w:r w:rsidR="002C16A1">
        <w:rPr>
          <w:color w:val="3A3A36"/>
          <w:w w:val="105"/>
          <w:sz w:val="24"/>
          <w:szCs w:val="24"/>
        </w:rPr>
        <w:t>c</w:t>
      </w:r>
      <w:r w:rsidRPr="00976BAB">
        <w:rPr>
          <w:color w:val="4F4D49"/>
          <w:w w:val="105"/>
          <w:sz w:val="24"/>
          <w:szCs w:val="24"/>
        </w:rPr>
        <w:t>ourt scrutiny</w:t>
      </w:r>
      <w:r w:rsidRPr="00976BAB">
        <w:rPr>
          <w:color w:val="4F4D49"/>
          <w:spacing w:val="-3"/>
          <w:w w:val="105"/>
          <w:sz w:val="24"/>
          <w:szCs w:val="24"/>
        </w:rPr>
        <w:t xml:space="preserve"> </w:t>
      </w:r>
      <w:r w:rsidRPr="00976BAB">
        <w:rPr>
          <w:color w:val="3A3A36"/>
          <w:w w:val="105"/>
          <w:sz w:val="24"/>
          <w:szCs w:val="24"/>
        </w:rPr>
        <w:t xml:space="preserve">and </w:t>
      </w:r>
      <w:r w:rsidRPr="00976BAB">
        <w:rPr>
          <w:color w:val="4F4D49"/>
          <w:w w:val="105"/>
          <w:sz w:val="24"/>
          <w:szCs w:val="24"/>
        </w:rPr>
        <w:t>approval</w:t>
      </w:r>
      <w:r w:rsidR="0030557F">
        <w:rPr>
          <w:color w:val="4F4D49"/>
          <w:w w:val="105"/>
          <w:sz w:val="24"/>
          <w:szCs w:val="24"/>
        </w:rPr>
        <w:t xml:space="preserve">, </w:t>
      </w:r>
      <w:r w:rsidR="0030557F">
        <w:rPr>
          <w:color w:val="4F4D49"/>
          <w:w w:val="105"/>
          <w:sz w:val="24"/>
          <w:szCs w:val="24"/>
        </w:rPr>
        <w:lastRenderedPageBreak/>
        <w:t>including with respect to legal costs and money payable or repayable to a litigation funder</w:t>
      </w:r>
      <w:r w:rsidRPr="00976BAB">
        <w:rPr>
          <w:color w:val="4F4D49"/>
          <w:w w:val="105"/>
          <w:sz w:val="24"/>
          <w:szCs w:val="24"/>
        </w:rPr>
        <w:t>.</w:t>
      </w:r>
      <w:r w:rsidR="0030557F">
        <w:rPr>
          <w:color w:val="4F4D49"/>
          <w:spacing w:val="40"/>
          <w:w w:val="105"/>
          <w:sz w:val="24"/>
          <w:szCs w:val="24"/>
        </w:rPr>
        <w:t xml:space="preserve"> </w:t>
      </w:r>
      <w:r w:rsidRPr="00976BAB">
        <w:rPr>
          <w:color w:val="3A3A36"/>
          <w:w w:val="105"/>
          <w:sz w:val="24"/>
          <w:szCs w:val="24"/>
        </w:rPr>
        <w:t xml:space="preserve">Payment </w:t>
      </w:r>
      <w:r>
        <w:rPr>
          <w:color w:val="3A3A36"/>
          <w:w w:val="105"/>
          <w:sz w:val="24"/>
          <w:szCs w:val="24"/>
        </w:rPr>
        <w:t xml:space="preserve">of any </w:t>
      </w:r>
      <w:r>
        <w:rPr>
          <w:color w:val="4F4D49"/>
          <w:w w:val="105"/>
          <w:sz w:val="24"/>
          <w:szCs w:val="24"/>
        </w:rPr>
        <w:t>s</w:t>
      </w:r>
      <w:r w:rsidRPr="00976BAB">
        <w:rPr>
          <w:color w:val="4F4D49"/>
          <w:w w:val="105"/>
          <w:sz w:val="24"/>
          <w:szCs w:val="24"/>
        </w:rPr>
        <w:t xml:space="preserve">ettlement </w:t>
      </w:r>
      <w:r>
        <w:rPr>
          <w:color w:val="4F4D49"/>
          <w:w w:val="105"/>
          <w:sz w:val="24"/>
          <w:szCs w:val="24"/>
        </w:rPr>
        <w:t xml:space="preserve">money </w:t>
      </w:r>
      <w:r w:rsidR="0030557F">
        <w:rPr>
          <w:color w:val="4F4D49"/>
          <w:w w:val="105"/>
          <w:sz w:val="24"/>
          <w:szCs w:val="24"/>
        </w:rPr>
        <w:t>is</w:t>
      </w:r>
      <w:r>
        <w:rPr>
          <w:color w:val="4F4D49"/>
          <w:w w:val="105"/>
          <w:sz w:val="24"/>
          <w:szCs w:val="24"/>
        </w:rPr>
        <w:t xml:space="preserve"> normally </w:t>
      </w:r>
      <w:r w:rsidRPr="00976BAB">
        <w:rPr>
          <w:color w:val="4F4D49"/>
          <w:w w:val="105"/>
          <w:sz w:val="24"/>
          <w:szCs w:val="24"/>
        </w:rPr>
        <w:t>a</w:t>
      </w:r>
      <w:r w:rsidRPr="00976BAB">
        <w:rPr>
          <w:color w:val="262421"/>
          <w:w w:val="105"/>
          <w:sz w:val="24"/>
          <w:szCs w:val="24"/>
        </w:rPr>
        <w:t>dmini</w:t>
      </w:r>
      <w:r w:rsidRPr="00976BAB">
        <w:rPr>
          <w:color w:val="4F4D49"/>
          <w:w w:val="105"/>
          <w:sz w:val="24"/>
          <w:szCs w:val="24"/>
        </w:rPr>
        <w:t xml:space="preserve">stered </w:t>
      </w:r>
      <w:r w:rsidRPr="00976BAB">
        <w:rPr>
          <w:color w:val="3A3A36"/>
          <w:w w:val="105"/>
          <w:sz w:val="24"/>
          <w:szCs w:val="24"/>
        </w:rPr>
        <w:t xml:space="preserve">by </w:t>
      </w:r>
      <w:r w:rsidRPr="00976BAB">
        <w:rPr>
          <w:color w:val="4F4D49"/>
          <w:w w:val="105"/>
          <w:sz w:val="24"/>
          <w:szCs w:val="24"/>
        </w:rPr>
        <w:t xml:space="preserve">a </w:t>
      </w:r>
      <w:r>
        <w:rPr>
          <w:color w:val="4F4D49"/>
          <w:w w:val="105"/>
          <w:sz w:val="24"/>
          <w:szCs w:val="24"/>
        </w:rPr>
        <w:t>c</w:t>
      </w:r>
      <w:r w:rsidRPr="00976BAB">
        <w:rPr>
          <w:color w:val="3A3A36"/>
          <w:w w:val="105"/>
          <w:sz w:val="24"/>
          <w:szCs w:val="24"/>
        </w:rPr>
        <w:t xml:space="preserve">ourt-appointed </w:t>
      </w:r>
      <w:r>
        <w:rPr>
          <w:color w:val="3A3A36"/>
          <w:w w:val="105"/>
          <w:sz w:val="24"/>
          <w:szCs w:val="24"/>
        </w:rPr>
        <w:t>f</w:t>
      </w:r>
      <w:r w:rsidRPr="00976BAB">
        <w:rPr>
          <w:color w:val="3A3A36"/>
          <w:w w:val="105"/>
          <w:sz w:val="24"/>
          <w:szCs w:val="24"/>
        </w:rPr>
        <w:t xml:space="preserve">und </w:t>
      </w:r>
      <w:r>
        <w:rPr>
          <w:color w:val="3A3A36"/>
          <w:w w:val="105"/>
          <w:sz w:val="24"/>
          <w:szCs w:val="24"/>
        </w:rPr>
        <w:t>a</w:t>
      </w:r>
      <w:r w:rsidRPr="00976BAB">
        <w:rPr>
          <w:color w:val="4F4D49"/>
          <w:w w:val="105"/>
          <w:sz w:val="24"/>
          <w:szCs w:val="24"/>
        </w:rPr>
        <w:t>dmi</w:t>
      </w:r>
      <w:r w:rsidRPr="00976BAB">
        <w:rPr>
          <w:color w:val="262421"/>
          <w:w w:val="105"/>
          <w:sz w:val="24"/>
          <w:szCs w:val="24"/>
        </w:rPr>
        <w:t>ni</w:t>
      </w:r>
      <w:r w:rsidRPr="00976BAB">
        <w:rPr>
          <w:color w:val="4F4D49"/>
          <w:w w:val="105"/>
          <w:sz w:val="24"/>
          <w:szCs w:val="24"/>
        </w:rPr>
        <w:t>strator</w:t>
      </w:r>
      <w:r w:rsidR="0030557F">
        <w:rPr>
          <w:color w:val="4F4D49"/>
          <w:w w:val="105"/>
          <w:sz w:val="24"/>
          <w:szCs w:val="24"/>
        </w:rPr>
        <w:t xml:space="preserve"> assisted by court-appointed lawyers</w:t>
      </w:r>
      <w:r>
        <w:rPr>
          <w:color w:val="3A3A36"/>
          <w:w w:val="105"/>
          <w:sz w:val="24"/>
          <w:szCs w:val="24"/>
        </w:rPr>
        <w:t xml:space="preserve">. </w:t>
      </w:r>
    </w:p>
    <w:p w14:paraId="09D5B9EA" w14:textId="77777777" w:rsidR="0067067B" w:rsidRDefault="0067067B" w:rsidP="0067067B">
      <w:pPr>
        <w:pStyle w:val="BodyText"/>
        <w:spacing w:line="256" w:lineRule="auto"/>
        <w:ind w:left="1256" w:right="744" w:hanging="3"/>
        <w:jc w:val="both"/>
        <w:rPr>
          <w:sz w:val="24"/>
          <w:szCs w:val="24"/>
        </w:rPr>
      </w:pPr>
      <w:bookmarkStart w:id="0" w:name="_Hlk163469286"/>
    </w:p>
    <w:bookmarkEnd w:id="0"/>
    <w:p w14:paraId="6157DD16" w14:textId="49C00F5D" w:rsidR="00EE7A37" w:rsidRDefault="00EE7A37" w:rsidP="00EE7A37">
      <w:pPr>
        <w:pStyle w:val="BodyText"/>
        <w:spacing w:line="256" w:lineRule="auto"/>
        <w:ind w:left="1235" w:right="765" w:firstLine="17"/>
        <w:rPr>
          <w:color w:val="3A3A36"/>
          <w:w w:val="105"/>
          <w:sz w:val="24"/>
          <w:szCs w:val="24"/>
        </w:rPr>
      </w:pPr>
      <w:r>
        <w:rPr>
          <w:color w:val="3A3A36"/>
          <w:w w:val="105"/>
          <w:sz w:val="24"/>
          <w:szCs w:val="24"/>
        </w:rPr>
        <w:t>The funding arrangements, the amount to be paid to the funder, and legal costs are also subject to court approval. A</w:t>
      </w:r>
      <w:r w:rsidRPr="00EE7A37">
        <w:rPr>
          <w:color w:val="3A3A36"/>
          <w:w w:val="105"/>
          <w:sz w:val="24"/>
          <w:szCs w:val="24"/>
        </w:rPr>
        <w:t xml:space="preserve">pproval </w:t>
      </w:r>
      <w:r>
        <w:rPr>
          <w:color w:val="3A3A36"/>
          <w:w w:val="105"/>
          <w:sz w:val="24"/>
          <w:szCs w:val="24"/>
        </w:rPr>
        <w:t xml:space="preserve">of costs </w:t>
      </w:r>
      <w:r w:rsidRPr="00EE7A37">
        <w:rPr>
          <w:color w:val="3A3A36"/>
          <w:w w:val="105"/>
          <w:sz w:val="24"/>
          <w:szCs w:val="24"/>
        </w:rPr>
        <w:t xml:space="preserve">is </w:t>
      </w:r>
      <w:r>
        <w:rPr>
          <w:color w:val="3A3A36"/>
          <w:w w:val="105"/>
          <w:sz w:val="24"/>
          <w:szCs w:val="24"/>
        </w:rPr>
        <w:t xml:space="preserve">normally contingent on </w:t>
      </w:r>
      <w:r w:rsidRPr="00EE7A37">
        <w:rPr>
          <w:color w:val="3A3A36"/>
          <w:w w:val="105"/>
          <w:sz w:val="24"/>
          <w:szCs w:val="24"/>
        </w:rPr>
        <w:t xml:space="preserve">evidence from an independent cost consultant. The </w:t>
      </w:r>
      <w:r>
        <w:rPr>
          <w:color w:val="3A3A36"/>
          <w:w w:val="105"/>
          <w:sz w:val="24"/>
          <w:szCs w:val="24"/>
        </w:rPr>
        <w:t>c</w:t>
      </w:r>
      <w:r w:rsidRPr="00EE7A37">
        <w:rPr>
          <w:color w:val="3A3A36"/>
          <w:w w:val="105"/>
          <w:sz w:val="24"/>
          <w:szCs w:val="24"/>
        </w:rPr>
        <w:t xml:space="preserve">ourt will </w:t>
      </w:r>
      <w:r>
        <w:rPr>
          <w:color w:val="3A3A36"/>
          <w:w w:val="105"/>
          <w:sz w:val="24"/>
          <w:szCs w:val="24"/>
        </w:rPr>
        <w:t xml:space="preserve">generally </w:t>
      </w:r>
      <w:r w:rsidRPr="00EE7A37">
        <w:rPr>
          <w:color w:val="3A3A36"/>
          <w:w w:val="105"/>
          <w:sz w:val="24"/>
          <w:szCs w:val="24"/>
        </w:rPr>
        <w:t xml:space="preserve">only approve costs </w:t>
      </w:r>
      <w:r>
        <w:rPr>
          <w:color w:val="3A3A36"/>
          <w:w w:val="105"/>
          <w:sz w:val="24"/>
          <w:szCs w:val="24"/>
        </w:rPr>
        <w:t>if they are reasonable.</w:t>
      </w:r>
      <w:r w:rsidR="0030557F">
        <w:rPr>
          <w:color w:val="3A3A36"/>
          <w:w w:val="105"/>
          <w:sz w:val="24"/>
          <w:szCs w:val="24"/>
        </w:rPr>
        <w:t xml:space="preserve"> Even the amount which each lead applicant and group member receives </w:t>
      </w:r>
      <w:proofErr w:type="gramStart"/>
      <w:r w:rsidR="0030557F">
        <w:rPr>
          <w:color w:val="3A3A36"/>
          <w:w w:val="105"/>
          <w:sz w:val="24"/>
          <w:szCs w:val="24"/>
        </w:rPr>
        <w:t>has to</w:t>
      </w:r>
      <w:proofErr w:type="gramEnd"/>
      <w:r w:rsidR="0030557F">
        <w:rPr>
          <w:color w:val="3A3A36"/>
          <w:w w:val="105"/>
          <w:sz w:val="24"/>
          <w:szCs w:val="24"/>
        </w:rPr>
        <w:t xml:space="preserve"> be pursuant to a court-approved formula. </w:t>
      </w:r>
    </w:p>
    <w:p w14:paraId="435693BF" w14:textId="77777777" w:rsidR="00EE7A37" w:rsidRPr="00EE7A37" w:rsidRDefault="00EE7A37" w:rsidP="00EE7A37">
      <w:pPr>
        <w:pStyle w:val="BodyText"/>
        <w:spacing w:line="256" w:lineRule="auto"/>
        <w:ind w:left="1235" w:right="765" w:firstLine="17"/>
        <w:rPr>
          <w:color w:val="3A3A36"/>
          <w:w w:val="105"/>
          <w:sz w:val="24"/>
          <w:szCs w:val="24"/>
        </w:rPr>
      </w:pPr>
    </w:p>
    <w:p w14:paraId="03EE6090" w14:textId="632DB60D" w:rsidR="002C16A1" w:rsidRDefault="00546E92" w:rsidP="002C16A1">
      <w:pPr>
        <w:pStyle w:val="BodyText"/>
        <w:spacing w:line="256" w:lineRule="auto"/>
        <w:ind w:left="1235" w:right="765" w:firstLine="17"/>
        <w:rPr>
          <w:color w:val="3A3A36"/>
          <w:w w:val="105"/>
          <w:sz w:val="24"/>
          <w:szCs w:val="24"/>
        </w:rPr>
      </w:pPr>
      <w:r>
        <w:rPr>
          <w:color w:val="3A3A36"/>
          <w:w w:val="105"/>
          <w:sz w:val="24"/>
          <w:szCs w:val="24"/>
        </w:rPr>
        <w:t>For group members, including the lead applicant, the benefit of having a litigation funder is that you do not have to pay any legal costs for bringing the claim (either ongoing or at the end), and you avoid the risk of having to pay any costs to the defendant</w:t>
      </w:r>
      <w:r w:rsidR="0030557F">
        <w:rPr>
          <w:color w:val="3A3A36"/>
          <w:w w:val="105"/>
          <w:sz w:val="24"/>
          <w:szCs w:val="24"/>
        </w:rPr>
        <w:t xml:space="preserve"> if the case fails, either wholly or in part</w:t>
      </w:r>
      <w:r>
        <w:rPr>
          <w:color w:val="3A3A36"/>
          <w:w w:val="105"/>
          <w:sz w:val="24"/>
          <w:szCs w:val="24"/>
        </w:rPr>
        <w:t xml:space="preserve">. </w:t>
      </w:r>
    </w:p>
    <w:p w14:paraId="3D307903" w14:textId="77777777" w:rsidR="00976BAB" w:rsidRDefault="00976BAB" w:rsidP="00E01B2A">
      <w:pPr>
        <w:pStyle w:val="BodyText"/>
        <w:spacing w:line="256" w:lineRule="auto"/>
        <w:ind w:left="1235" w:right="765" w:firstLine="17"/>
        <w:jc w:val="both"/>
        <w:rPr>
          <w:color w:val="3A3A36"/>
          <w:w w:val="105"/>
          <w:sz w:val="24"/>
          <w:szCs w:val="24"/>
        </w:rPr>
      </w:pPr>
    </w:p>
    <w:p w14:paraId="1ABA004D" w14:textId="58175B3A" w:rsidR="00791AC2" w:rsidRDefault="00546E92" w:rsidP="00546E92">
      <w:pPr>
        <w:pStyle w:val="BodyText"/>
        <w:spacing w:line="256" w:lineRule="auto"/>
        <w:ind w:left="1235" w:right="765" w:firstLine="17"/>
        <w:jc w:val="both"/>
      </w:pPr>
      <w:r>
        <w:rPr>
          <w:color w:val="3A3A36"/>
          <w:w w:val="105"/>
          <w:sz w:val="24"/>
          <w:szCs w:val="24"/>
        </w:rPr>
        <w:t xml:space="preserve">Once a funder has been secured, a formal </w:t>
      </w:r>
      <w:r w:rsidR="001C5F68">
        <w:rPr>
          <w:color w:val="3A3A36"/>
          <w:w w:val="105"/>
          <w:sz w:val="24"/>
          <w:szCs w:val="24"/>
        </w:rPr>
        <w:t xml:space="preserve">litigation </w:t>
      </w:r>
      <w:r>
        <w:rPr>
          <w:color w:val="3A3A36"/>
          <w:w w:val="105"/>
          <w:sz w:val="24"/>
          <w:szCs w:val="24"/>
        </w:rPr>
        <w:t xml:space="preserve">funding agreement will be </w:t>
      </w:r>
      <w:r w:rsidR="0067067B">
        <w:rPr>
          <w:color w:val="3A3A36"/>
          <w:w w:val="105"/>
          <w:sz w:val="24"/>
          <w:szCs w:val="24"/>
        </w:rPr>
        <w:t>prepared,</w:t>
      </w:r>
      <w:r>
        <w:rPr>
          <w:color w:val="3A3A36"/>
          <w:w w:val="105"/>
          <w:sz w:val="24"/>
          <w:szCs w:val="24"/>
        </w:rPr>
        <w:t xml:space="preserve"> and group members will be asked to sign it. When </w:t>
      </w:r>
      <w:r w:rsidR="006F372F" w:rsidRPr="00976BAB">
        <w:rPr>
          <w:color w:val="262421"/>
          <w:w w:val="105"/>
          <w:sz w:val="24"/>
          <w:szCs w:val="24"/>
        </w:rPr>
        <w:t>n</w:t>
      </w:r>
      <w:r w:rsidR="006F372F" w:rsidRPr="00976BAB">
        <w:rPr>
          <w:color w:val="4F4D49"/>
          <w:w w:val="105"/>
          <w:sz w:val="24"/>
          <w:szCs w:val="24"/>
        </w:rPr>
        <w:t xml:space="preserve">ot </w:t>
      </w:r>
      <w:r w:rsidRPr="00976BAB">
        <w:rPr>
          <w:color w:val="3A3A36"/>
          <w:w w:val="105"/>
          <w:sz w:val="24"/>
          <w:szCs w:val="24"/>
        </w:rPr>
        <w:t>all</w:t>
      </w:r>
      <w:r w:rsidR="006F372F" w:rsidRPr="00976BAB">
        <w:rPr>
          <w:color w:val="4F4D49"/>
          <w:spacing w:val="40"/>
          <w:w w:val="105"/>
          <w:sz w:val="24"/>
          <w:szCs w:val="24"/>
        </w:rPr>
        <w:t xml:space="preserve"> </w:t>
      </w:r>
      <w:r w:rsidR="006F372F" w:rsidRPr="00976BAB">
        <w:rPr>
          <w:color w:val="4F4D49"/>
          <w:w w:val="105"/>
          <w:sz w:val="24"/>
          <w:szCs w:val="24"/>
        </w:rPr>
        <w:t>group</w:t>
      </w:r>
      <w:r w:rsidR="006F372F" w:rsidRPr="00976BAB">
        <w:rPr>
          <w:color w:val="4F4D49"/>
          <w:spacing w:val="31"/>
          <w:w w:val="105"/>
          <w:sz w:val="24"/>
          <w:szCs w:val="24"/>
        </w:rPr>
        <w:t xml:space="preserve"> </w:t>
      </w:r>
      <w:r w:rsidR="006F372F" w:rsidRPr="00976BAB">
        <w:rPr>
          <w:color w:val="262421"/>
          <w:w w:val="105"/>
          <w:sz w:val="24"/>
          <w:szCs w:val="24"/>
        </w:rPr>
        <w:t>m</w:t>
      </w:r>
      <w:r w:rsidR="006F372F" w:rsidRPr="00976BAB">
        <w:rPr>
          <w:color w:val="4F4D49"/>
          <w:w w:val="105"/>
          <w:sz w:val="24"/>
          <w:szCs w:val="24"/>
        </w:rPr>
        <w:t xml:space="preserve">embers </w:t>
      </w:r>
      <w:r w:rsidR="006F372F" w:rsidRPr="00976BAB">
        <w:rPr>
          <w:color w:val="3A3A36"/>
          <w:w w:val="105"/>
          <w:sz w:val="24"/>
          <w:szCs w:val="24"/>
        </w:rPr>
        <w:t>have</w:t>
      </w:r>
      <w:r w:rsidR="006F372F" w:rsidRPr="00976BAB">
        <w:rPr>
          <w:color w:val="3A3A36"/>
          <w:spacing w:val="-6"/>
          <w:w w:val="105"/>
          <w:sz w:val="24"/>
          <w:szCs w:val="24"/>
        </w:rPr>
        <w:t xml:space="preserve"> </w:t>
      </w:r>
      <w:r w:rsidR="006F372F" w:rsidRPr="00976BAB">
        <w:rPr>
          <w:color w:val="4F4D49"/>
          <w:w w:val="105"/>
          <w:sz w:val="24"/>
          <w:szCs w:val="24"/>
        </w:rPr>
        <w:t>signed a</w:t>
      </w:r>
      <w:r w:rsidR="006F372F" w:rsidRPr="00976BAB">
        <w:rPr>
          <w:color w:val="4F4D49"/>
          <w:spacing w:val="-1"/>
          <w:w w:val="105"/>
          <w:sz w:val="24"/>
          <w:szCs w:val="24"/>
        </w:rPr>
        <w:t xml:space="preserve"> </w:t>
      </w:r>
      <w:r>
        <w:rPr>
          <w:color w:val="4F4D49"/>
          <w:spacing w:val="-1"/>
          <w:w w:val="105"/>
          <w:sz w:val="24"/>
          <w:szCs w:val="24"/>
        </w:rPr>
        <w:t>f</w:t>
      </w:r>
      <w:r w:rsidR="006F372F" w:rsidRPr="00976BAB">
        <w:rPr>
          <w:color w:val="3A3A36"/>
          <w:w w:val="105"/>
          <w:sz w:val="24"/>
          <w:szCs w:val="24"/>
        </w:rPr>
        <w:t>unding</w:t>
      </w:r>
      <w:r w:rsidR="006F372F" w:rsidRPr="00976BAB">
        <w:rPr>
          <w:color w:val="3A3A36"/>
          <w:spacing w:val="-11"/>
          <w:w w:val="105"/>
          <w:sz w:val="24"/>
          <w:szCs w:val="24"/>
        </w:rPr>
        <w:t xml:space="preserve"> </w:t>
      </w:r>
      <w:r>
        <w:rPr>
          <w:color w:val="3A3A36"/>
          <w:spacing w:val="-11"/>
          <w:w w:val="105"/>
          <w:sz w:val="24"/>
          <w:szCs w:val="24"/>
        </w:rPr>
        <w:t>a</w:t>
      </w:r>
      <w:r w:rsidR="006F372F" w:rsidRPr="00976BAB">
        <w:rPr>
          <w:color w:val="4F4D49"/>
          <w:w w:val="105"/>
          <w:sz w:val="24"/>
          <w:szCs w:val="24"/>
        </w:rPr>
        <w:t>g</w:t>
      </w:r>
      <w:r w:rsidR="006F372F" w:rsidRPr="00976BAB">
        <w:rPr>
          <w:color w:val="262421"/>
          <w:w w:val="105"/>
          <w:sz w:val="24"/>
          <w:szCs w:val="24"/>
        </w:rPr>
        <w:t>r</w:t>
      </w:r>
      <w:r w:rsidR="006F372F" w:rsidRPr="00976BAB">
        <w:rPr>
          <w:color w:val="4F4D49"/>
          <w:w w:val="105"/>
          <w:sz w:val="24"/>
          <w:szCs w:val="24"/>
        </w:rPr>
        <w:t>ee</w:t>
      </w:r>
      <w:r w:rsidR="006F372F" w:rsidRPr="00976BAB">
        <w:rPr>
          <w:color w:val="262421"/>
          <w:w w:val="105"/>
          <w:sz w:val="24"/>
          <w:szCs w:val="24"/>
        </w:rPr>
        <w:t>m</w:t>
      </w:r>
      <w:r w:rsidR="006F372F" w:rsidRPr="00976BAB">
        <w:rPr>
          <w:color w:val="4F4D49"/>
          <w:w w:val="105"/>
          <w:sz w:val="24"/>
          <w:szCs w:val="24"/>
        </w:rPr>
        <w:t>e</w:t>
      </w:r>
      <w:r w:rsidR="006F372F" w:rsidRPr="00976BAB">
        <w:rPr>
          <w:color w:val="262421"/>
          <w:w w:val="105"/>
          <w:sz w:val="24"/>
          <w:szCs w:val="24"/>
        </w:rPr>
        <w:t>nt</w:t>
      </w:r>
      <w:r w:rsidR="006F372F" w:rsidRPr="00976BAB">
        <w:rPr>
          <w:color w:val="3A3A36"/>
          <w:w w:val="105"/>
          <w:sz w:val="24"/>
          <w:szCs w:val="24"/>
        </w:rPr>
        <w:t xml:space="preserve">, </w:t>
      </w:r>
      <w:r w:rsidR="00444DE7">
        <w:rPr>
          <w:color w:val="3A3A36"/>
          <w:w w:val="105"/>
          <w:sz w:val="24"/>
          <w:szCs w:val="24"/>
        </w:rPr>
        <w:t>and the claim succeeds</w:t>
      </w:r>
      <w:r w:rsidR="0067067B">
        <w:rPr>
          <w:color w:val="262421"/>
          <w:w w:val="105"/>
          <w:sz w:val="24"/>
          <w:szCs w:val="24"/>
        </w:rPr>
        <w:t xml:space="preserve">, </w:t>
      </w:r>
      <w:r w:rsidR="006F372F" w:rsidRPr="00976BAB">
        <w:rPr>
          <w:color w:val="3A3A36"/>
          <w:w w:val="105"/>
          <w:sz w:val="24"/>
          <w:szCs w:val="24"/>
        </w:rPr>
        <w:t xml:space="preserve">the funder </w:t>
      </w:r>
      <w:r w:rsidR="0067067B">
        <w:rPr>
          <w:color w:val="3A3A36"/>
          <w:w w:val="105"/>
          <w:sz w:val="24"/>
          <w:szCs w:val="24"/>
        </w:rPr>
        <w:t xml:space="preserve">usually </w:t>
      </w:r>
      <w:r w:rsidR="006F372F" w:rsidRPr="00976BAB">
        <w:rPr>
          <w:color w:val="4F4D49"/>
          <w:w w:val="105"/>
          <w:sz w:val="24"/>
          <w:szCs w:val="24"/>
        </w:rPr>
        <w:t>app</w:t>
      </w:r>
      <w:r w:rsidR="006F372F" w:rsidRPr="00976BAB">
        <w:rPr>
          <w:color w:val="262421"/>
          <w:w w:val="105"/>
          <w:sz w:val="24"/>
          <w:szCs w:val="24"/>
        </w:rPr>
        <w:t>l</w:t>
      </w:r>
      <w:r w:rsidR="0067067B">
        <w:rPr>
          <w:color w:val="262421"/>
          <w:w w:val="105"/>
          <w:sz w:val="24"/>
          <w:szCs w:val="24"/>
        </w:rPr>
        <w:t>ies</w:t>
      </w:r>
      <w:r w:rsidR="006F372F" w:rsidRPr="00976BAB">
        <w:rPr>
          <w:color w:val="4F4D49"/>
          <w:w w:val="105"/>
          <w:sz w:val="24"/>
          <w:szCs w:val="24"/>
        </w:rPr>
        <w:t xml:space="preserve"> </w:t>
      </w:r>
      <w:r w:rsidR="006F372F" w:rsidRPr="00976BAB">
        <w:rPr>
          <w:color w:val="3A3A36"/>
          <w:w w:val="105"/>
          <w:sz w:val="24"/>
          <w:szCs w:val="24"/>
        </w:rPr>
        <w:t xml:space="preserve">for </w:t>
      </w:r>
      <w:r w:rsidR="006F372F" w:rsidRPr="00976BAB">
        <w:rPr>
          <w:color w:val="4F4D49"/>
          <w:w w:val="105"/>
          <w:sz w:val="24"/>
          <w:szCs w:val="24"/>
        </w:rPr>
        <w:t xml:space="preserve">a </w:t>
      </w:r>
      <w:r w:rsidR="0067067B">
        <w:rPr>
          <w:color w:val="4F4D49"/>
          <w:w w:val="105"/>
          <w:sz w:val="24"/>
          <w:szCs w:val="24"/>
        </w:rPr>
        <w:t>c</w:t>
      </w:r>
      <w:r w:rsidR="006F372F" w:rsidRPr="00976BAB">
        <w:rPr>
          <w:color w:val="3A3A36"/>
          <w:w w:val="105"/>
          <w:sz w:val="24"/>
          <w:szCs w:val="24"/>
        </w:rPr>
        <w:t xml:space="preserve">ommon </w:t>
      </w:r>
      <w:r w:rsidR="0067067B">
        <w:rPr>
          <w:color w:val="3A3A36"/>
          <w:w w:val="105"/>
          <w:sz w:val="24"/>
          <w:szCs w:val="24"/>
        </w:rPr>
        <w:t>f</w:t>
      </w:r>
      <w:r w:rsidR="006F372F" w:rsidRPr="00976BAB">
        <w:rPr>
          <w:color w:val="3A3A36"/>
          <w:w w:val="105"/>
          <w:sz w:val="24"/>
          <w:szCs w:val="24"/>
        </w:rPr>
        <w:t xml:space="preserve">und </w:t>
      </w:r>
      <w:r w:rsidR="0067067B">
        <w:rPr>
          <w:color w:val="3A3A36"/>
          <w:w w:val="105"/>
          <w:sz w:val="24"/>
          <w:szCs w:val="24"/>
        </w:rPr>
        <w:t>o</w:t>
      </w:r>
      <w:r w:rsidR="006F372F" w:rsidRPr="00976BAB">
        <w:rPr>
          <w:color w:val="4F4D49"/>
          <w:w w:val="105"/>
          <w:sz w:val="24"/>
          <w:szCs w:val="24"/>
        </w:rPr>
        <w:t>rder</w:t>
      </w:r>
      <w:r w:rsidR="0067067B">
        <w:rPr>
          <w:color w:val="4F4D49"/>
          <w:w w:val="105"/>
          <w:sz w:val="24"/>
          <w:szCs w:val="24"/>
        </w:rPr>
        <w:t xml:space="preserve">. This </w:t>
      </w:r>
      <w:r w:rsidR="006F372F" w:rsidRPr="00976BAB">
        <w:rPr>
          <w:color w:val="3A3A36"/>
          <w:w w:val="105"/>
          <w:sz w:val="24"/>
          <w:szCs w:val="24"/>
        </w:rPr>
        <w:t>require</w:t>
      </w:r>
      <w:r w:rsidR="0067067B">
        <w:rPr>
          <w:color w:val="3A3A36"/>
          <w:w w:val="105"/>
          <w:sz w:val="24"/>
          <w:szCs w:val="24"/>
        </w:rPr>
        <w:t>s</w:t>
      </w:r>
      <w:r w:rsidR="006F372F" w:rsidRPr="00976BAB">
        <w:rPr>
          <w:color w:val="3A3A36"/>
          <w:w w:val="105"/>
          <w:sz w:val="24"/>
          <w:szCs w:val="24"/>
        </w:rPr>
        <w:t xml:space="preserve"> </w:t>
      </w:r>
      <w:r w:rsidR="006F372F" w:rsidRPr="00976BAB">
        <w:rPr>
          <w:color w:val="4F4D49"/>
          <w:w w:val="105"/>
          <w:sz w:val="24"/>
          <w:szCs w:val="24"/>
        </w:rPr>
        <w:t xml:space="preserve">all </w:t>
      </w:r>
      <w:r w:rsidR="006F372F" w:rsidRPr="00976BAB">
        <w:rPr>
          <w:color w:val="3A3A36"/>
          <w:w w:val="105"/>
          <w:sz w:val="24"/>
          <w:szCs w:val="24"/>
        </w:rPr>
        <w:t xml:space="preserve">the </w:t>
      </w:r>
      <w:r w:rsidR="006F372F" w:rsidRPr="00976BAB">
        <w:rPr>
          <w:color w:val="4F4D49"/>
          <w:w w:val="105"/>
          <w:sz w:val="24"/>
          <w:szCs w:val="24"/>
        </w:rPr>
        <w:t xml:space="preserve">group </w:t>
      </w:r>
      <w:r w:rsidR="006F372F" w:rsidRPr="00976BAB">
        <w:rPr>
          <w:color w:val="3A3A36"/>
          <w:w w:val="105"/>
          <w:sz w:val="24"/>
          <w:szCs w:val="24"/>
        </w:rPr>
        <w:t xml:space="preserve">members to contribute </w:t>
      </w:r>
      <w:r w:rsidR="006F372F" w:rsidRPr="00976BAB">
        <w:rPr>
          <w:color w:val="4F4D49"/>
          <w:w w:val="105"/>
          <w:sz w:val="24"/>
          <w:szCs w:val="24"/>
        </w:rPr>
        <w:t xml:space="preserve">equally </w:t>
      </w:r>
      <w:r w:rsidR="006F372F" w:rsidRPr="00976BAB">
        <w:rPr>
          <w:color w:val="3A3A36"/>
          <w:w w:val="105"/>
          <w:sz w:val="24"/>
          <w:szCs w:val="24"/>
        </w:rPr>
        <w:t xml:space="preserve">to the costs </w:t>
      </w:r>
      <w:r w:rsidR="006F372F" w:rsidRPr="00976BAB">
        <w:rPr>
          <w:color w:val="4F4D49"/>
          <w:w w:val="105"/>
          <w:sz w:val="24"/>
          <w:szCs w:val="24"/>
        </w:rPr>
        <w:t xml:space="preserve">and </w:t>
      </w:r>
      <w:r w:rsidR="006F372F" w:rsidRPr="00976BAB">
        <w:rPr>
          <w:color w:val="3A3A36"/>
          <w:w w:val="105"/>
          <w:sz w:val="24"/>
          <w:szCs w:val="24"/>
        </w:rPr>
        <w:t xml:space="preserve">to the </w:t>
      </w:r>
      <w:r w:rsidR="0067067B">
        <w:rPr>
          <w:color w:val="3A3A36"/>
          <w:w w:val="105"/>
          <w:sz w:val="24"/>
          <w:szCs w:val="24"/>
        </w:rPr>
        <w:t>f</w:t>
      </w:r>
      <w:r w:rsidR="006F372F" w:rsidRPr="00976BAB">
        <w:rPr>
          <w:color w:val="3A3A36"/>
          <w:w w:val="105"/>
          <w:sz w:val="24"/>
          <w:szCs w:val="24"/>
        </w:rPr>
        <w:t xml:space="preserve">under's </w:t>
      </w:r>
      <w:r w:rsidR="0067067B">
        <w:rPr>
          <w:color w:val="3A3A36"/>
          <w:w w:val="105"/>
          <w:sz w:val="24"/>
          <w:szCs w:val="24"/>
        </w:rPr>
        <w:t>c</w:t>
      </w:r>
      <w:r w:rsidR="006F372F" w:rsidRPr="00976BAB">
        <w:rPr>
          <w:color w:val="4F4D49"/>
          <w:w w:val="105"/>
          <w:sz w:val="24"/>
          <w:szCs w:val="24"/>
        </w:rPr>
        <w:t xml:space="preserve">ommission, </w:t>
      </w:r>
      <w:r w:rsidR="0067067B">
        <w:rPr>
          <w:color w:val="4F4D49"/>
          <w:w w:val="105"/>
          <w:sz w:val="24"/>
          <w:szCs w:val="24"/>
        </w:rPr>
        <w:t>whether the group member has signed the funding agreement or not.</w:t>
      </w:r>
      <w:r w:rsidR="00791AC2" w:rsidRPr="00791AC2">
        <w:t xml:space="preserve"> </w:t>
      </w:r>
    </w:p>
    <w:p w14:paraId="595A9E14" w14:textId="77777777" w:rsidR="00791AC2" w:rsidRDefault="00791AC2" w:rsidP="00546E92">
      <w:pPr>
        <w:pStyle w:val="BodyText"/>
        <w:spacing w:line="256" w:lineRule="auto"/>
        <w:ind w:left="1235" w:right="765" w:firstLine="17"/>
        <w:jc w:val="both"/>
      </w:pPr>
    </w:p>
    <w:p w14:paraId="740C99E8" w14:textId="5E2A8AFD" w:rsidR="001C5F68" w:rsidRDefault="0052479C" w:rsidP="00546E92">
      <w:pPr>
        <w:pStyle w:val="BodyText"/>
        <w:spacing w:line="256" w:lineRule="auto"/>
        <w:ind w:left="1235" w:right="765" w:firstLine="17"/>
        <w:jc w:val="both"/>
        <w:rPr>
          <w:color w:val="4F4D49"/>
          <w:w w:val="105"/>
          <w:sz w:val="24"/>
          <w:szCs w:val="24"/>
        </w:rPr>
      </w:pPr>
      <w:r>
        <w:rPr>
          <w:color w:val="4F4D49"/>
          <w:w w:val="105"/>
          <w:sz w:val="24"/>
          <w:szCs w:val="24"/>
        </w:rPr>
        <w:t xml:space="preserve">On average, legal fees and other costs account for </w:t>
      </w:r>
      <w:r w:rsidR="00791AC2" w:rsidRPr="00791AC2">
        <w:rPr>
          <w:color w:val="4F4D49"/>
          <w:w w:val="105"/>
          <w:sz w:val="24"/>
          <w:szCs w:val="24"/>
        </w:rPr>
        <w:t xml:space="preserve">15 per cent of the settlement amount, while </w:t>
      </w:r>
      <w:r>
        <w:rPr>
          <w:color w:val="4F4D49"/>
          <w:w w:val="105"/>
          <w:sz w:val="24"/>
          <w:szCs w:val="24"/>
        </w:rPr>
        <w:t xml:space="preserve">funders </w:t>
      </w:r>
      <w:r w:rsidR="00791AC2" w:rsidRPr="00791AC2">
        <w:rPr>
          <w:color w:val="4F4D49"/>
          <w:w w:val="105"/>
          <w:sz w:val="24"/>
          <w:szCs w:val="24"/>
        </w:rPr>
        <w:t xml:space="preserve">commissions average </w:t>
      </w:r>
      <w:r>
        <w:rPr>
          <w:color w:val="4F4D49"/>
          <w:w w:val="105"/>
          <w:sz w:val="24"/>
          <w:szCs w:val="24"/>
        </w:rPr>
        <w:t xml:space="preserve">about </w:t>
      </w:r>
      <w:r w:rsidR="00791AC2" w:rsidRPr="00791AC2">
        <w:rPr>
          <w:color w:val="4F4D49"/>
          <w:w w:val="105"/>
          <w:sz w:val="24"/>
          <w:szCs w:val="24"/>
        </w:rPr>
        <w:t>27 per cent</w:t>
      </w:r>
      <w:r w:rsidR="002A4BAD">
        <w:rPr>
          <w:color w:val="4F4D49"/>
          <w:w w:val="105"/>
          <w:sz w:val="24"/>
          <w:szCs w:val="24"/>
        </w:rPr>
        <w:t>.</w:t>
      </w:r>
      <w:r w:rsidR="0067067B">
        <w:rPr>
          <w:color w:val="4F4D49"/>
          <w:w w:val="105"/>
          <w:sz w:val="24"/>
          <w:szCs w:val="24"/>
        </w:rPr>
        <w:t xml:space="preserve"> </w:t>
      </w:r>
      <w:r>
        <w:rPr>
          <w:color w:val="4F4D49"/>
          <w:w w:val="105"/>
          <w:sz w:val="24"/>
          <w:szCs w:val="24"/>
        </w:rPr>
        <w:t>However, these amounts can vary widely, depending on the nature and size of the claim.</w:t>
      </w:r>
    </w:p>
    <w:p w14:paraId="21CCFA01" w14:textId="77777777" w:rsidR="001C5F68" w:rsidRDefault="001C5F68" w:rsidP="00546E92">
      <w:pPr>
        <w:pStyle w:val="BodyText"/>
        <w:spacing w:line="256" w:lineRule="auto"/>
        <w:ind w:left="1235" w:right="765" w:firstLine="17"/>
        <w:jc w:val="both"/>
        <w:rPr>
          <w:color w:val="4F4D49"/>
          <w:w w:val="105"/>
          <w:sz w:val="24"/>
          <w:szCs w:val="24"/>
        </w:rPr>
      </w:pPr>
    </w:p>
    <w:p w14:paraId="4ED0CBB6" w14:textId="3D417635" w:rsidR="00ED6C46" w:rsidRPr="00976BAB" w:rsidRDefault="001C5F68" w:rsidP="00546E92">
      <w:pPr>
        <w:pStyle w:val="BodyText"/>
        <w:spacing w:line="256" w:lineRule="auto"/>
        <w:ind w:left="1235" w:right="765" w:firstLine="17"/>
        <w:jc w:val="both"/>
        <w:rPr>
          <w:sz w:val="24"/>
          <w:szCs w:val="24"/>
        </w:rPr>
      </w:pPr>
      <w:r>
        <w:rPr>
          <w:color w:val="4F4D49"/>
          <w:w w:val="105"/>
          <w:sz w:val="24"/>
          <w:szCs w:val="24"/>
        </w:rPr>
        <w:t>To take an example, assume a class action is settled for $1</w:t>
      </w:r>
      <w:r w:rsidR="00963016">
        <w:rPr>
          <w:color w:val="4F4D49"/>
          <w:w w:val="105"/>
          <w:sz w:val="24"/>
          <w:szCs w:val="24"/>
        </w:rPr>
        <w:t>60</w:t>
      </w:r>
      <w:r>
        <w:rPr>
          <w:color w:val="4F4D49"/>
          <w:w w:val="105"/>
          <w:sz w:val="24"/>
          <w:szCs w:val="24"/>
        </w:rPr>
        <w:t xml:space="preserve"> million. The funder has paid all the legal costs, which total $</w:t>
      </w:r>
      <w:r w:rsidR="0030557F">
        <w:rPr>
          <w:color w:val="4F4D49"/>
          <w:w w:val="105"/>
          <w:sz w:val="24"/>
          <w:szCs w:val="24"/>
        </w:rPr>
        <w:t>1</w:t>
      </w:r>
      <w:r>
        <w:rPr>
          <w:color w:val="4F4D49"/>
          <w:w w:val="105"/>
          <w:sz w:val="24"/>
          <w:szCs w:val="24"/>
        </w:rPr>
        <w:t xml:space="preserve">5 million. </w:t>
      </w:r>
      <w:r w:rsidR="00163252">
        <w:rPr>
          <w:color w:val="4F4D49"/>
          <w:w w:val="105"/>
          <w:sz w:val="24"/>
          <w:szCs w:val="24"/>
        </w:rPr>
        <w:t xml:space="preserve">Assuming the funding agreement allows it to </w:t>
      </w:r>
      <w:r w:rsidR="002A4BAD">
        <w:rPr>
          <w:color w:val="4F4D49"/>
          <w:w w:val="105"/>
          <w:sz w:val="24"/>
          <w:szCs w:val="24"/>
        </w:rPr>
        <w:t xml:space="preserve">be </w:t>
      </w:r>
      <w:r w:rsidR="00163252">
        <w:rPr>
          <w:color w:val="4F4D49"/>
          <w:w w:val="105"/>
          <w:sz w:val="24"/>
          <w:szCs w:val="24"/>
        </w:rPr>
        <w:t>repaid its costs first (which is usually the case), t</w:t>
      </w:r>
      <w:r>
        <w:rPr>
          <w:color w:val="4F4D49"/>
          <w:w w:val="105"/>
          <w:sz w:val="24"/>
          <w:szCs w:val="24"/>
        </w:rPr>
        <w:t>his leaves $1</w:t>
      </w:r>
      <w:r w:rsidR="00963016">
        <w:rPr>
          <w:color w:val="4F4D49"/>
          <w:w w:val="105"/>
          <w:sz w:val="24"/>
          <w:szCs w:val="24"/>
        </w:rPr>
        <w:t>45</w:t>
      </w:r>
      <w:r>
        <w:rPr>
          <w:color w:val="4F4D49"/>
          <w:w w:val="105"/>
          <w:sz w:val="24"/>
          <w:szCs w:val="24"/>
        </w:rPr>
        <w:t xml:space="preserve"> million</w:t>
      </w:r>
      <w:r w:rsidR="00163252">
        <w:rPr>
          <w:color w:val="4F4D49"/>
          <w:w w:val="105"/>
          <w:sz w:val="24"/>
          <w:szCs w:val="24"/>
        </w:rPr>
        <w:t xml:space="preserve">. </w:t>
      </w:r>
      <w:r w:rsidR="0030557F">
        <w:rPr>
          <w:color w:val="4F4D49"/>
          <w:w w:val="105"/>
          <w:sz w:val="24"/>
          <w:szCs w:val="24"/>
        </w:rPr>
        <w:t>T</w:t>
      </w:r>
      <w:r>
        <w:rPr>
          <w:color w:val="4F4D49"/>
          <w:w w:val="105"/>
          <w:sz w:val="24"/>
          <w:szCs w:val="24"/>
        </w:rPr>
        <w:t xml:space="preserve">he funder’s commission of 25% ($40 million) is </w:t>
      </w:r>
      <w:r w:rsidR="00963016">
        <w:rPr>
          <w:color w:val="4F4D49"/>
          <w:w w:val="105"/>
          <w:sz w:val="24"/>
          <w:szCs w:val="24"/>
        </w:rPr>
        <w:t xml:space="preserve">calculated </w:t>
      </w:r>
      <w:proofErr w:type="gramStart"/>
      <w:r w:rsidR="00963016">
        <w:rPr>
          <w:color w:val="4F4D49"/>
          <w:w w:val="105"/>
          <w:sz w:val="24"/>
          <w:szCs w:val="24"/>
        </w:rPr>
        <w:t>on the whole</w:t>
      </w:r>
      <w:proofErr w:type="gramEnd"/>
      <w:r w:rsidR="00963016">
        <w:rPr>
          <w:color w:val="4F4D49"/>
          <w:w w:val="105"/>
          <w:sz w:val="24"/>
          <w:szCs w:val="24"/>
        </w:rPr>
        <w:t xml:space="preserve"> $1</w:t>
      </w:r>
      <w:r w:rsidR="00E46CF8">
        <w:rPr>
          <w:color w:val="4F4D49"/>
          <w:w w:val="105"/>
          <w:sz w:val="24"/>
          <w:szCs w:val="24"/>
        </w:rPr>
        <w:t>60</w:t>
      </w:r>
      <w:r w:rsidR="00963016">
        <w:rPr>
          <w:color w:val="4F4D49"/>
          <w:w w:val="105"/>
          <w:sz w:val="24"/>
          <w:szCs w:val="24"/>
        </w:rPr>
        <w:t xml:space="preserve"> million</w:t>
      </w:r>
      <w:r>
        <w:rPr>
          <w:color w:val="4F4D49"/>
          <w:w w:val="105"/>
          <w:sz w:val="24"/>
          <w:szCs w:val="24"/>
        </w:rPr>
        <w:t xml:space="preserve">. There will </w:t>
      </w:r>
      <w:r w:rsidR="00163252">
        <w:rPr>
          <w:color w:val="4F4D49"/>
          <w:w w:val="105"/>
          <w:sz w:val="24"/>
          <w:szCs w:val="24"/>
        </w:rPr>
        <w:t xml:space="preserve">then </w:t>
      </w:r>
      <w:r>
        <w:rPr>
          <w:color w:val="4F4D49"/>
          <w:w w:val="105"/>
          <w:sz w:val="24"/>
          <w:szCs w:val="24"/>
        </w:rPr>
        <w:t>be $1</w:t>
      </w:r>
      <w:r w:rsidR="00963016">
        <w:rPr>
          <w:color w:val="4F4D49"/>
          <w:w w:val="105"/>
          <w:sz w:val="24"/>
          <w:szCs w:val="24"/>
        </w:rPr>
        <w:t>05</w:t>
      </w:r>
      <w:r>
        <w:rPr>
          <w:color w:val="4F4D49"/>
          <w:w w:val="105"/>
          <w:sz w:val="24"/>
          <w:szCs w:val="24"/>
        </w:rPr>
        <w:t xml:space="preserve"> million available for distribution to group members.  </w:t>
      </w:r>
      <w:r w:rsidR="0052479C">
        <w:rPr>
          <w:color w:val="4F4D49"/>
          <w:w w:val="105"/>
          <w:sz w:val="24"/>
          <w:szCs w:val="24"/>
        </w:rPr>
        <w:t xml:space="preserve"> </w:t>
      </w:r>
    </w:p>
    <w:p w14:paraId="3B23F30A" w14:textId="77777777" w:rsidR="00ED6C46" w:rsidRPr="00976BAB" w:rsidRDefault="00ED6C46">
      <w:pPr>
        <w:pStyle w:val="BodyText"/>
        <w:rPr>
          <w:szCs w:val="24"/>
        </w:rPr>
      </w:pPr>
    </w:p>
    <w:p w14:paraId="55C59BC9" w14:textId="77777777" w:rsidR="00163252" w:rsidRPr="00976BAB" w:rsidRDefault="00163252" w:rsidP="00163252">
      <w:pPr>
        <w:pStyle w:val="BodyText"/>
        <w:spacing w:line="256" w:lineRule="auto"/>
        <w:ind w:left="1235" w:right="765" w:firstLine="17"/>
        <w:rPr>
          <w:color w:val="3A3A36"/>
          <w:w w:val="105"/>
          <w:sz w:val="24"/>
          <w:szCs w:val="24"/>
        </w:rPr>
      </w:pPr>
      <w:r>
        <w:rPr>
          <w:color w:val="3A3A36"/>
          <w:w w:val="105"/>
          <w:sz w:val="24"/>
          <w:szCs w:val="24"/>
        </w:rPr>
        <w:t>It is fair to say that, w</w:t>
      </w:r>
      <w:r w:rsidRPr="00976BAB">
        <w:rPr>
          <w:color w:val="3A3A36"/>
          <w:w w:val="105"/>
          <w:sz w:val="24"/>
          <w:szCs w:val="24"/>
        </w:rPr>
        <w:t>ithout litigation funding, many large and successful Australian class actions would not have been brought</w:t>
      </w:r>
      <w:r>
        <w:rPr>
          <w:color w:val="3A3A36"/>
          <w:w w:val="105"/>
          <w:sz w:val="24"/>
          <w:szCs w:val="24"/>
        </w:rPr>
        <w:t>, and the claimants in those case would not have received any compensation for their losses</w:t>
      </w:r>
      <w:r w:rsidRPr="00976BAB">
        <w:rPr>
          <w:color w:val="3A3A36"/>
          <w:w w:val="105"/>
          <w:sz w:val="24"/>
          <w:szCs w:val="24"/>
        </w:rPr>
        <w:t xml:space="preserve">. </w:t>
      </w:r>
    </w:p>
    <w:p w14:paraId="5AFA8AA3" w14:textId="77777777" w:rsidR="00FB1B32" w:rsidRDefault="00FB1B32">
      <w:pPr>
        <w:pStyle w:val="BodyText"/>
        <w:spacing w:line="256" w:lineRule="auto"/>
        <w:ind w:left="1256" w:right="744" w:hanging="3"/>
        <w:jc w:val="both"/>
        <w:rPr>
          <w:sz w:val="24"/>
          <w:szCs w:val="24"/>
        </w:rPr>
      </w:pPr>
    </w:p>
    <w:p w14:paraId="5584637B" w14:textId="2484F40E" w:rsidR="00976BAB" w:rsidRPr="00FB1B32" w:rsidRDefault="00976BAB">
      <w:pPr>
        <w:pStyle w:val="BodyText"/>
        <w:spacing w:line="256" w:lineRule="auto"/>
        <w:ind w:left="1256" w:right="744" w:hanging="3"/>
        <w:jc w:val="both"/>
        <w:rPr>
          <w:b/>
          <w:bCs/>
          <w:sz w:val="24"/>
          <w:szCs w:val="24"/>
        </w:rPr>
      </w:pPr>
      <w:r w:rsidRPr="00FB1B32">
        <w:rPr>
          <w:b/>
          <w:bCs/>
          <w:sz w:val="24"/>
          <w:szCs w:val="24"/>
        </w:rPr>
        <w:t>It is important you understand the way your claim is being funded. Please do not hesitate to contact us if you have any questions</w:t>
      </w:r>
      <w:r w:rsidR="002C16A1" w:rsidRPr="00FB1B32">
        <w:rPr>
          <w:b/>
          <w:bCs/>
          <w:sz w:val="24"/>
          <w:szCs w:val="24"/>
        </w:rPr>
        <w:t xml:space="preserve">. </w:t>
      </w:r>
      <w:r w:rsidRPr="00FB1B32">
        <w:rPr>
          <w:b/>
          <w:bCs/>
          <w:sz w:val="24"/>
          <w:szCs w:val="24"/>
        </w:rPr>
        <w:t xml:space="preserve"> </w:t>
      </w:r>
    </w:p>
    <w:p w14:paraId="1B25EA05" w14:textId="77777777" w:rsidR="00ED6C46" w:rsidRDefault="00ED6C46">
      <w:pPr>
        <w:pStyle w:val="BodyText"/>
        <w:rPr>
          <w:sz w:val="24"/>
          <w:szCs w:val="24"/>
        </w:rPr>
      </w:pPr>
    </w:p>
    <w:sectPr w:rsidR="00ED6C46" w:rsidSect="001C5F68">
      <w:headerReference w:type="even" r:id="rId8"/>
      <w:headerReference w:type="default" r:id="rId9"/>
      <w:footerReference w:type="even" r:id="rId10"/>
      <w:footerReference w:type="default" r:id="rId11"/>
      <w:headerReference w:type="first" r:id="rId12"/>
      <w:footerReference w:type="first" r:id="rId13"/>
      <w:pgSz w:w="11910" w:h="16840"/>
      <w:pgMar w:top="720" w:right="567" w:bottom="907"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FFB21" w14:textId="77777777" w:rsidR="0052479C" w:rsidRDefault="0052479C" w:rsidP="0052479C">
      <w:r>
        <w:separator/>
      </w:r>
    </w:p>
  </w:endnote>
  <w:endnote w:type="continuationSeparator" w:id="0">
    <w:p w14:paraId="0EB5F594" w14:textId="77777777" w:rsidR="0052479C" w:rsidRDefault="0052479C" w:rsidP="0052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41E9" w14:textId="77777777" w:rsidR="00972694" w:rsidRDefault="00972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912C" w14:textId="1B105C64" w:rsidR="00972694" w:rsidRDefault="00972694" w:rsidP="00972694">
    <w:pPr>
      <w:pStyle w:val="Footer"/>
    </w:pPr>
    <w:bookmarkStart w:id="1" w:name="PRIMARYFOOTERSPECBEGIN1"/>
    <w:bookmarkEnd w:id="1"/>
    <w:r w:rsidRPr="00972694">
      <w:rPr>
        <w:sz w:val="14"/>
      </w:rPr>
      <w:t xml:space="preserve">p140085_130.docx </w:t>
    </w:r>
    <w:bookmarkStart w:id="2" w:name="PRIMARYFOOTERSPECEN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4336" w14:textId="77777777" w:rsidR="00972694" w:rsidRDefault="00972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96CD3" w14:textId="77777777" w:rsidR="0052479C" w:rsidRDefault="0052479C" w:rsidP="0052479C">
      <w:r>
        <w:separator/>
      </w:r>
    </w:p>
  </w:footnote>
  <w:footnote w:type="continuationSeparator" w:id="0">
    <w:p w14:paraId="15375AF4" w14:textId="77777777" w:rsidR="0052479C" w:rsidRDefault="0052479C" w:rsidP="00524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1BEA" w14:textId="77777777" w:rsidR="00972694" w:rsidRDefault="00972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E066" w14:textId="77777777" w:rsidR="00972694" w:rsidRDefault="00972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1A18" w14:textId="77777777" w:rsidR="00972694" w:rsidRDefault="00972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C5EE6"/>
    <w:multiLevelType w:val="hybridMultilevel"/>
    <w:tmpl w:val="BDF8448C"/>
    <w:lvl w:ilvl="0" w:tplc="0C09000F">
      <w:start w:val="1"/>
      <w:numFmt w:val="decimal"/>
      <w:lvlText w:val="%1."/>
      <w:lvlJc w:val="left"/>
      <w:pPr>
        <w:ind w:left="2145" w:hanging="360"/>
      </w:pPr>
    </w:lvl>
    <w:lvl w:ilvl="1" w:tplc="0C090019" w:tentative="1">
      <w:start w:val="1"/>
      <w:numFmt w:val="lowerLetter"/>
      <w:lvlText w:val="%2."/>
      <w:lvlJc w:val="left"/>
      <w:pPr>
        <w:ind w:left="2865" w:hanging="360"/>
      </w:pPr>
    </w:lvl>
    <w:lvl w:ilvl="2" w:tplc="0C09001B" w:tentative="1">
      <w:start w:val="1"/>
      <w:numFmt w:val="lowerRoman"/>
      <w:lvlText w:val="%3."/>
      <w:lvlJc w:val="right"/>
      <w:pPr>
        <w:ind w:left="3585" w:hanging="180"/>
      </w:pPr>
    </w:lvl>
    <w:lvl w:ilvl="3" w:tplc="0C09000F" w:tentative="1">
      <w:start w:val="1"/>
      <w:numFmt w:val="decimal"/>
      <w:lvlText w:val="%4."/>
      <w:lvlJc w:val="left"/>
      <w:pPr>
        <w:ind w:left="4305" w:hanging="360"/>
      </w:pPr>
    </w:lvl>
    <w:lvl w:ilvl="4" w:tplc="0C090019" w:tentative="1">
      <w:start w:val="1"/>
      <w:numFmt w:val="lowerLetter"/>
      <w:lvlText w:val="%5."/>
      <w:lvlJc w:val="left"/>
      <w:pPr>
        <w:ind w:left="5025" w:hanging="360"/>
      </w:pPr>
    </w:lvl>
    <w:lvl w:ilvl="5" w:tplc="0C09001B" w:tentative="1">
      <w:start w:val="1"/>
      <w:numFmt w:val="lowerRoman"/>
      <w:lvlText w:val="%6."/>
      <w:lvlJc w:val="right"/>
      <w:pPr>
        <w:ind w:left="5745" w:hanging="180"/>
      </w:pPr>
    </w:lvl>
    <w:lvl w:ilvl="6" w:tplc="0C09000F" w:tentative="1">
      <w:start w:val="1"/>
      <w:numFmt w:val="decimal"/>
      <w:lvlText w:val="%7."/>
      <w:lvlJc w:val="left"/>
      <w:pPr>
        <w:ind w:left="6465" w:hanging="360"/>
      </w:pPr>
    </w:lvl>
    <w:lvl w:ilvl="7" w:tplc="0C090019" w:tentative="1">
      <w:start w:val="1"/>
      <w:numFmt w:val="lowerLetter"/>
      <w:lvlText w:val="%8."/>
      <w:lvlJc w:val="left"/>
      <w:pPr>
        <w:ind w:left="7185" w:hanging="360"/>
      </w:pPr>
    </w:lvl>
    <w:lvl w:ilvl="8" w:tplc="0C09001B" w:tentative="1">
      <w:start w:val="1"/>
      <w:numFmt w:val="lowerRoman"/>
      <w:lvlText w:val="%9."/>
      <w:lvlJc w:val="right"/>
      <w:pPr>
        <w:ind w:left="7905" w:hanging="180"/>
      </w:pPr>
    </w:lvl>
  </w:abstractNum>
  <w:abstractNum w:abstractNumId="1" w15:restartNumberingAfterBreak="0">
    <w:nsid w:val="584B78E7"/>
    <w:multiLevelType w:val="hybridMultilevel"/>
    <w:tmpl w:val="FF54C908"/>
    <w:lvl w:ilvl="0" w:tplc="0C09000F">
      <w:start w:val="1"/>
      <w:numFmt w:val="decimal"/>
      <w:lvlText w:val="%1."/>
      <w:lvlJc w:val="left"/>
      <w:pPr>
        <w:ind w:left="1972" w:hanging="360"/>
      </w:pPr>
    </w:lvl>
    <w:lvl w:ilvl="1" w:tplc="0C090019" w:tentative="1">
      <w:start w:val="1"/>
      <w:numFmt w:val="lowerLetter"/>
      <w:lvlText w:val="%2."/>
      <w:lvlJc w:val="left"/>
      <w:pPr>
        <w:ind w:left="2692" w:hanging="360"/>
      </w:pPr>
    </w:lvl>
    <w:lvl w:ilvl="2" w:tplc="0C09001B" w:tentative="1">
      <w:start w:val="1"/>
      <w:numFmt w:val="lowerRoman"/>
      <w:lvlText w:val="%3."/>
      <w:lvlJc w:val="right"/>
      <w:pPr>
        <w:ind w:left="3412" w:hanging="180"/>
      </w:pPr>
    </w:lvl>
    <w:lvl w:ilvl="3" w:tplc="0C09000F" w:tentative="1">
      <w:start w:val="1"/>
      <w:numFmt w:val="decimal"/>
      <w:lvlText w:val="%4."/>
      <w:lvlJc w:val="left"/>
      <w:pPr>
        <w:ind w:left="4132" w:hanging="360"/>
      </w:pPr>
    </w:lvl>
    <w:lvl w:ilvl="4" w:tplc="0C090019" w:tentative="1">
      <w:start w:val="1"/>
      <w:numFmt w:val="lowerLetter"/>
      <w:lvlText w:val="%5."/>
      <w:lvlJc w:val="left"/>
      <w:pPr>
        <w:ind w:left="4852" w:hanging="360"/>
      </w:pPr>
    </w:lvl>
    <w:lvl w:ilvl="5" w:tplc="0C09001B" w:tentative="1">
      <w:start w:val="1"/>
      <w:numFmt w:val="lowerRoman"/>
      <w:lvlText w:val="%6."/>
      <w:lvlJc w:val="right"/>
      <w:pPr>
        <w:ind w:left="5572" w:hanging="180"/>
      </w:pPr>
    </w:lvl>
    <w:lvl w:ilvl="6" w:tplc="0C09000F" w:tentative="1">
      <w:start w:val="1"/>
      <w:numFmt w:val="decimal"/>
      <w:lvlText w:val="%7."/>
      <w:lvlJc w:val="left"/>
      <w:pPr>
        <w:ind w:left="6292" w:hanging="360"/>
      </w:pPr>
    </w:lvl>
    <w:lvl w:ilvl="7" w:tplc="0C090019" w:tentative="1">
      <w:start w:val="1"/>
      <w:numFmt w:val="lowerLetter"/>
      <w:lvlText w:val="%8."/>
      <w:lvlJc w:val="left"/>
      <w:pPr>
        <w:ind w:left="7012" w:hanging="360"/>
      </w:pPr>
    </w:lvl>
    <w:lvl w:ilvl="8" w:tplc="0C09001B" w:tentative="1">
      <w:start w:val="1"/>
      <w:numFmt w:val="lowerRoman"/>
      <w:lvlText w:val="%9."/>
      <w:lvlJc w:val="right"/>
      <w:pPr>
        <w:ind w:left="7732" w:hanging="180"/>
      </w:pPr>
    </w:lvl>
  </w:abstractNum>
  <w:num w:numId="1" w16cid:durableId="1002468838">
    <w:abstractNumId w:val="0"/>
  </w:num>
  <w:num w:numId="2" w16cid:durableId="1005210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46"/>
    <w:rsid w:val="0013158E"/>
    <w:rsid w:val="00163252"/>
    <w:rsid w:val="001C5F68"/>
    <w:rsid w:val="002A4BAD"/>
    <w:rsid w:val="002C16A1"/>
    <w:rsid w:val="0030557F"/>
    <w:rsid w:val="003A1F64"/>
    <w:rsid w:val="003D5F26"/>
    <w:rsid w:val="00444DE7"/>
    <w:rsid w:val="0052479C"/>
    <w:rsid w:val="00546E92"/>
    <w:rsid w:val="0067067B"/>
    <w:rsid w:val="006F372F"/>
    <w:rsid w:val="00791AC2"/>
    <w:rsid w:val="0081564E"/>
    <w:rsid w:val="00963016"/>
    <w:rsid w:val="00972694"/>
    <w:rsid w:val="00976BAB"/>
    <w:rsid w:val="0098504A"/>
    <w:rsid w:val="00AA2B8B"/>
    <w:rsid w:val="00C71FF9"/>
    <w:rsid w:val="00E01B2A"/>
    <w:rsid w:val="00E46CF8"/>
    <w:rsid w:val="00ED6C46"/>
    <w:rsid w:val="00EE7A37"/>
    <w:rsid w:val="00FB1B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E9AAB0"/>
  <w15:docId w15:val="{E9B964B2-321B-4A46-9D8A-4C321B13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68"/>
      <w:outlineLvl w:val="0"/>
    </w:pPr>
    <w:rPr>
      <w:b/>
      <w:bCs/>
      <w:sz w:val="27"/>
      <w:szCs w:val="27"/>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7067B"/>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52479C"/>
    <w:rPr>
      <w:sz w:val="20"/>
      <w:szCs w:val="20"/>
    </w:rPr>
  </w:style>
  <w:style w:type="character" w:customStyle="1" w:styleId="FootnoteTextChar">
    <w:name w:val="Footnote Text Char"/>
    <w:basedOn w:val="DefaultParagraphFont"/>
    <w:link w:val="FootnoteText"/>
    <w:uiPriority w:val="99"/>
    <w:semiHidden/>
    <w:rsid w:val="005247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2479C"/>
    <w:rPr>
      <w:vertAlign w:val="superscript"/>
    </w:rPr>
  </w:style>
  <w:style w:type="paragraph" w:styleId="Header">
    <w:name w:val="header"/>
    <w:basedOn w:val="Normal"/>
    <w:link w:val="HeaderChar"/>
    <w:uiPriority w:val="99"/>
    <w:unhideWhenUsed/>
    <w:rsid w:val="00972694"/>
    <w:pPr>
      <w:tabs>
        <w:tab w:val="center" w:pos="4513"/>
        <w:tab w:val="right" w:pos="9026"/>
      </w:tabs>
    </w:pPr>
  </w:style>
  <w:style w:type="character" w:customStyle="1" w:styleId="HeaderChar">
    <w:name w:val="Header Char"/>
    <w:basedOn w:val="DefaultParagraphFont"/>
    <w:link w:val="Header"/>
    <w:uiPriority w:val="99"/>
    <w:rsid w:val="00972694"/>
    <w:rPr>
      <w:rFonts w:ascii="Times New Roman" w:eastAsia="Times New Roman" w:hAnsi="Times New Roman" w:cs="Times New Roman"/>
    </w:rPr>
  </w:style>
  <w:style w:type="paragraph" w:styleId="Footer">
    <w:name w:val="footer"/>
    <w:basedOn w:val="Normal"/>
    <w:link w:val="FooterChar"/>
    <w:uiPriority w:val="99"/>
    <w:unhideWhenUsed/>
    <w:rsid w:val="00972694"/>
    <w:pPr>
      <w:tabs>
        <w:tab w:val="center" w:pos="4513"/>
        <w:tab w:val="right" w:pos="9026"/>
      </w:tabs>
    </w:pPr>
  </w:style>
  <w:style w:type="character" w:customStyle="1" w:styleId="FooterChar">
    <w:name w:val="Footer Char"/>
    <w:basedOn w:val="DefaultParagraphFont"/>
    <w:link w:val="Footer"/>
    <w:uiPriority w:val="99"/>
    <w:rsid w:val="0097269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3C246-A63D-4F20-B8A4-766E5E9D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694</Words>
  <Characters>3960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Hankey</dc:creator>
  <cp:lastModifiedBy>Sudarshan Tambimuttu</cp:lastModifiedBy>
  <cp:revision>2</cp:revision>
  <cp:lastPrinted>2024-04-12T07:44:00Z</cp:lastPrinted>
  <dcterms:created xsi:type="dcterms:W3CDTF">2024-04-12T07:53:00Z</dcterms:created>
  <dcterms:modified xsi:type="dcterms:W3CDTF">2024-04-12T07:53:00Z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2024-04-08T00:00:00Z</vt:filetime>
  </property>
  <property fmtid="{D5CDD505-2E9C-101B-9397-08002B2CF9AE}" pid="3" name="Creator">
    <vt:lpwstr>Canon MF440 Series</vt:lpwstr>
  </property>
  <property fmtid="{D5CDD505-2E9C-101B-9397-08002B2CF9AE}" pid="4" name="LastSaved">
    <vt:filetime>2024-04-08T00:00:00Z</vt:filetime>
  </property>
  <property fmtid="{D5CDD505-2E9C-101B-9397-08002B2CF9AE}" pid="5" name="Producer">
    <vt:lpwstr>Adobe PSL 1.4e for Canon</vt:lpwstr>
  </property>
  <property fmtid="{D5CDD505-2E9C-101B-9397-08002B2CF9AE}" pid="6" name="DM_MATTER">
    <vt:lpwstr>140085</vt:lpwstr>
  </property>
  <property fmtid="{D5CDD505-2E9C-101B-9397-08002B2CF9AE}" pid="7" name="DM_CLIENT">
    <vt:lpwstr>LEVITTRO</vt:lpwstr>
  </property>
  <property fmtid="{D5CDD505-2E9C-101B-9397-08002B2CF9AE}" pid="8" name="DM_AUTHOR">
    <vt:lpwstr>CG</vt:lpwstr>
  </property>
  <property fmtid="{D5CDD505-2E9C-101B-9397-08002B2CF9AE}" pid="9" name="DM_OPERATOR">
    <vt:lpwstr>SJH</vt:lpwstr>
  </property>
  <property fmtid="{D5CDD505-2E9C-101B-9397-08002B2CF9AE}" pid="10" name="DM_DESCRIPTION">
    <vt:lpwstr>How Are Class Actions Funded?</vt:lpwstr>
  </property>
  <property fmtid="{D5CDD505-2E9C-101B-9397-08002B2CF9AE}" pid="11" name="DM_PRECEDENT">
    <vt:lpwstr/>
  </property>
  <property fmtid="{D5CDD505-2E9C-101B-9397-08002B2CF9AE}" pid="12" name="DM_INSERTFOOTER">
    <vt:i4>1</vt:i4>
  </property>
  <property fmtid="{D5CDD505-2E9C-101B-9397-08002B2CF9AE}" pid="13" name="DM_FOOTER1STPAGE">
    <vt:i4>1</vt:i4>
  </property>
  <property fmtid="{D5CDD505-2E9C-101B-9397-08002B2CF9AE}" pid="14" name="DM_DISPVERSIONINFOOTER">
    <vt:i4>0</vt:i4>
  </property>
  <property fmtid="{D5CDD505-2E9C-101B-9397-08002B2CF9AE}" pid="15" name="DM_PROMPTFORVERSION">
    <vt:i4>0</vt:i4>
  </property>
  <property fmtid="{D5CDD505-2E9C-101B-9397-08002B2CF9AE}" pid="16" name="DM_VERSION">
    <vt:i4>1</vt:i4>
  </property>
  <property fmtid="{D5CDD505-2E9C-101B-9397-08002B2CF9AE}" pid="17" name="DM_DISPFILENAMEINFOOTER">
    <vt:lpwstr>P140085_130.docx</vt:lpwstr>
  </property>
  <property fmtid="{D5CDD505-2E9C-101B-9397-08002B2CF9AE}" pid="18" name="DM_PHONEBOOK">
    <vt:lpwstr>Levitt Robinson Solicitors Fee Earn</vt:lpwstr>
  </property>
  <property fmtid="{D5CDD505-2E9C-101B-9397-08002B2CF9AE}" pid="19" name="DM_AFTYDOCID">
    <vt:i4>681490</vt:i4>
  </property>
</Properties>
</file>